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2B079" w14:textId="028012D4" w:rsidR="00E90E49" w:rsidRPr="0090403A" w:rsidRDefault="00E90E49" w:rsidP="00E35559">
      <w:pPr>
        <w:pStyle w:val="3GPPHeader"/>
        <w:spacing w:after="60"/>
        <w:rPr>
          <w:rFonts w:cs="Arial"/>
          <w:sz w:val="20"/>
        </w:rPr>
      </w:pPr>
      <w:r w:rsidRPr="00034BC1">
        <w:rPr>
          <w:rFonts w:cs="Arial"/>
          <w:sz w:val="20"/>
        </w:rPr>
        <w:t>3GPP TSG-RAN WG</w:t>
      </w:r>
      <w:r w:rsidR="00F20F5C" w:rsidRPr="00034BC1">
        <w:rPr>
          <w:rFonts w:cs="Arial"/>
          <w:sz w:val="20"/>
        </w:rPr>
        <w:t>2</w:t>
      </w:r>
      <w:r w:rsidRPr="00034BC1">
        <w:rPr>
          <w:rFonts w:cs="Arial"/>
          <w:sz w:val="20"/>
        </w:rPr>
        <w:t xml:space="preserve"> #</w:t>
      </w:r>
      <w:r w:rsidR="00F20F5C" w:rsidRPr="00034BC1">
        <w:rPr>
          <w:rFonts w:cs="Arial"/>
          <w:sz w:val="20"/>
        </w:rPr>
        <w:t>1</w:t>
      </w:r>
      <w:r w:rsidR="00C268E6" w:rsidRPr="00034BC1">
        <w:rPr>
          <w:rFonts w:cs="Arial"/>
          <w:sz w:val="20"/>
        </w:rPr>
        <w:t>1</w:t>
      </w:r>
      <w:r w:rsidR="0065529B">
        <w:rPr>
          <w:rFonts w:cs="Arial"/>
          <w:sz w:val="20"/>
        </w:rPr>
        <w:t>1e</w:t>
      </w:r>
      <w:r w:rsidRPr="00034BC1">
        <w:rPr>
          <w:rFonts w:cs="Arial"/>
          <w:sz w:val="20"/>
        </w:rPr>
        <w:tab/>
      </w:r>
      <w:proofErr w:type="spellStart"/>
      <w:r w:rsidRPr="0090403A">
        <w:rPr>
          <w:rFonts w:cs="Arial"/>
          <w:sz w:val="20"/>
        </w:rPr>
        <w:t>Tdoc</w:t>
      </w:r>
      <w:proofErr w:type="spellEnd"/>
      <w:r w:rsidRPr="0090403A">
        <w:rPr>
          <w:rFonts w:cs="Arial"/>
          <w:sz w:val="20"/>
        </w:rPr>
        <w:t xml:space="preserve"> </w:t>
      </w:r>
      <w:r w:rsidR="00091557" w:rsidRPr="0090403A">
        <w:rPr>
          <w:rFonts w:cs="Arial"/>
          <w:sz w:val="20"/>
        </w:rPr>
        <w:t>R2-</w:t>
      </w:r>
      <w:r w:rsidR="0090403A" w:rsidRPr="0090403A">
        <w:rPr>
          <w:rFonts w:cs="Arial"/>
          <w:sz w:val="20"/>
        </w:rPr>
        <w:t>2007404</w:t>
      </w:r>
    </w:p>
    <w:p w14:paraId="77D8DE88" w14:textId="0093FDC2" w:rsidR="00E90E49" w:rsidRPr="00034BC1" w:rsidRDefault="00C268E6" w:rsidP="00311702">
      <w:pPr>
        <w:pStyle w:val="3GPPHeader"/>
        <w:rPr>
          <w:rFonts w:cs="Arial"/>
          <w:sz w:val="20"/>
        </w:rPr>
      </w:pPr>
      <w:r w:rsidRPr="00034BC1">
        <w:rPr>
          <w:rFonts w:cs="Arial"/>
          <w:sz w:val="20"/>
        </w:rPr>
        <w:t xml:space="preserve">Electronic meeting, </w:t>
      </w:r>
      <w:r w:rsidR="0065529B">
        <w:rPr>
          <w:rFonts w:cs="Arial"/>
          <w:sz w:val="20"/>
        </w:rPr>
        <w:t>Aug 17</w:t>
      </w:r>
      <w:proofErr w:type="gramStart"/>
      <w:r w:rsidR="0065529B" w:rsidRPr="0065529B">
        <w:rPr>
          <w:rFonts w:cs="Arial"/>
          <w:sz w:val="20"/>
          <w:vertAlign w:val="superscript"/>
        </w:rPr>
        <w:t>th</w:t>
      </w:r>
      <w:r w:rsidR="0065529B">
        <w:rPr>
          <w:rFonts w:cs="Arial"/>
          <w:sz w:val="20"/>
        </w:rPr>
        <w:t xml:space="preserve">  –</w:t>
      </w:r>
      <w:proofErr w:type="gramEnd"/>
      <w:r w:rsidR="0065529B">
        <w:rPr>
          <w:rFonts w:cs="Arial"/>
          <w:sz w:val="20"/>
        </w:rPr>
        <w:t xml:space="preserve">  28</w:t>
      </w:r>
      <w:r w:rsidR="0065529B" w:rsidRPr="0065529B">
        <w:rPr>
          <w:rFonts w:cs="Arial"/>
          <w:sz w:val="20"/>
          <w:vertAlign w:val="superscript"/>
        </w:rPr>
        <w:t>th</w:t>
      </w:r>
      <w:r w:rsidR="0065529B">
        <w:rPr>
          <w:rFonts w:cs="Arial"/>
          <w:sz w:val="20"/>
        </w:rPr>
        <w:t xml:space="preserve"> </w:t>
      </w:r>
      <w:r w:rsidRPr="00034BC1">
        <w:rPr>
          <w:rFonts w:cs="Arial"/>
          <w:sz w:val="20"/>
        </w:rPr>
        <w:t xml:space="preserve"> 2020</w:t>
      </w:r>
    </w:p>
    <w:p w14:paraId="55DDF9AC" w14:textId="77777777" w:rsidR="00E90E49" w:rsidRPr="00034BC1" w:rsidRDefault="00E90E49" w:rsidP="00357380">
      <w:pPr>
        <w:pStyle w:val="3GPPHeader"/>
        <w:rPr>
          <w:rFonts w:cs="Arial"/>
          <w:sz w:val="20"/>
        </w:rPr>
      </w:pPr>
    </w:p>
    <w:p w14:paraId="3FC01579" w14:textId="67B6BBA0" w:rsidR="00E90E49" w:rsidRPr="00034BC1" w:rsidRDefault="00E90E49" w:rsidP="00311702">
      <w:pPr>
        <w:pStyle w:val="3GPPHeader"/>
        <w:rPr>
          <w:rFonts w:cs="Arial"/>
          <w:sz w:val="20"/>
          <w:lang w:val="en-US"/>
        </w:rPr>
      </w:pPr>
      <w:r w:rsidRPr="00034BC1">
        <w:rPr>
          <w:rFonts w:cs="Arial"/>
          <w:sz w:val="20"/>
          <w:lang w:val="en-US"/>
        </w:rPr>
        <w:t>Agenda Item:</w:t>
      </w:r>
      <w:r w:rsidRPr="00034BC1">
        <w:rPr>
          <w:rFonts w:cs="Arial"/>
          <w:sz w:val="20"/>
          <w:lang w:val="en-US"/>
        </w:rPr>
        <w:tab/>
      </w:r>
      <w:r w:rsidR="004D5405" w:rsidRPr="00034BC1">
        <w:rPr>
          <w:rFonts w:cs="Arial"/>
          <w:sz w:val="20"/>
          <w:lang w:val="en-US"/>
        </w:rPr>
        <w:t>6.</w:t>
      </w:r>
      <w:r w:rsidR="0065529B">
        <w:rPr>
          <w:rFonts w:cs="Arial"/>
          <w:sz w:val="20"/>
          <w:lang w:val="en-US"/>
        </w:rPr>
        <w:t>12 NR Other Control Plane WIs</w:t>
      </w:r>
    </w:p>
    <w:p w14:paraId="4704A291" w14:textId="77777777" w:rsidR="00E90E49" w:rsidRPr="00034BC1" w:rsidRDefault="003D3C45" w:rsidP="00F64C2B">
      <w:pPr>
        <w:pStyle w:val="3GPPHeader"/>
        <w:rPr>
          <w:rFonts w:cs="Arial"/>
          <w:sz w:val="20"/>
        </w:rPr>
      </w:pPr>
      <w:r w:rsidRPr="00034BC1">
        <w:rPr>
          <w:rFonts w:cs="Arial"/>
          <w:sz w:val="20"/>
        </w:rPr>
        <w:t>Source:</w:t>
      </w:r>
      <w:r w:rsidR="00E90E49" w:rsidRPr="00034BC1">
        <w:rPr>
          <w:rFonts w:cs="Arial"/>
          <w:sz w:val="20"/>
        </w:rPr>
        <w:tab/>
      </w:r>
      <w:r w:rsidR="00F64C2B" w:rsidRPr="00034BC1">
        <w:rPr>
          <w:rFonts w:cs="Arial"/>
          <w:sz w:val="20"/>
        </w:rPr>
        <w:t>Ericsson</w:t>
      </w:r>
    </w:p>
    <w:p w14:paraId="17DD65D3" w14:textId="21BB4B5B" w:rsidR="00E90E49" w:rsidRPr="00034BC1" w:rsidRDefault="003D3C45" w:rsidP="00311702">
      <w:pPr>
        <w:pStyle w:val="3GPPHeader"/>
        <w:rPr>
          <w:rFonts w:cs="Arial"/>
          <w:sz w:val="20"/>
        </w:rPr>
      </w:pPr>
      <w:r w:rsidRPr="00034BC1">
        <w:rPr>
          <w:rFonts w:cs="Arial"/>
          <w:sz w:val="20"/>
        </w:rPr>
        <w:t>Title:</w:t>
      </w:r>
      <w:r w:rsidR="00E90E49" w:rsidRPr="00034BC1">
        <w:rPr>
          <w:rFonts w:cs="Arial"/>
          <w:sz w:val="20"/>
        </w:rPr>
        <w:tab/>
      </w:r>
      <w:r w:rsidR="00B066DD">
        <w:rPr>
          <w:rFonts w:cs="Arial"/>
          <w:sz w:val="20"/>
        </w:rPr>
        <w:t>Limited Services and SNPN Access Mode</w:t>
      </w:r>
    </w:p>
    <w:p w14:paraId="1DDBCB33" w14:textId="0B93C27B" w:rsidR="00E90E49" w:rsidRPr="00034BC1" w:rsidRDefault="00E90E49" w:rsidP="009E2681">
      <w:pPr>
        <w:pStyle w:val="3GPPHeader"/>
        <w:rPr>
          <w:rFonts w:cs="Arial"/>
        </w:rPr>
      </w:pPr>
      <w:r w:rsidRPr="00034BC1">
        <w:rPr>
          <w:rFonts w:cs="Arial"/>
          <w:sz w:val="20"/>
        </w:rPr>
        <w:t>Document for:</w:t>
      </w:r>
      <w:r w:rsidRPr="00034BC1">
        <w:rPr>
          <w:rFonts w:cs="Arial"/>
          <w:sz w:val="20"/>
        </w:rPr>
        <w:tab/>
        <w:t>Decision</w:t>
      </w:r>
    </w:p>
    <w:p w14:paraId="140F2CA9" w14:textId="74A7FD7C" w:rsidR="00E90E49" w:rsidRPr="00034BC1" w:rsidRDefault="00230D18" w:rsidP="00982D6B">
      <w:pPr>
        <w:pStyle w:val="Heading1"/>
        <w:rPr>
          <w:rFonts w:cs="Arial"/>
        </w:rPr>
      </w:pPr>
      <w:r w:rsidRPr="00034BC1">
        <w:rPr>
          <w:rFonts w:cs="Arial"/>
        </w:rPr>
        <w:t>1</w:t>
      </w:r>
      <w:r w:rsidRPr="00034BC1">
        <w:rPr>
          <w:rFonts w:cs="Arial"/>
        </w:rPr>
        <w:tab/>
      </w:r>
      <w:r w:rsidR="00E90E49" w:rsidRPr="00034BC1">
        <w:rPr>
          <w:rFonts w:cs="Arial"/>
        </w:rPr>
        <w:t>Introduction</w:t>
      </w:r>
    </w:p>
    <w:p w14:paraId="14D329C9" w14:textId="77777777" w:rsidR="008B1C81" w:rsidRDefault="00A67846" w:rsidP="0065529B">
      <w:pPr>
        <w:overflowPunct/>
        <w:autoSpaceDE/>
        <w:autoSpaceDN/>
        <w:adjustRightInd/>
        <w:spacing w:before="150" w:after="0"/>
        <w:textAlignment w:val="auto"/>
        <w:rPr>
          <w:rFonts w:ascii="Arial" w:hAnsi="Arial" w:cs="Arial"/>
          <w:color w:val="000000" w:themeColor="text1"/>
          <w:lang w:val="en-US" w:eastAsia="sv-SE"/>
        </w:rPr>
      </w:pPr>
      <w:r>
        <w:rPr>
          <w:rFonts w:ascii="Arial" w:hAnsi="Arial" w:cs="Arial"/>
          <w:color w:val="000000" w:themeColor="text1"/>
          <w:lang w:val="en-US" w:eastAsia="sv-SE"/>
        </w:rPr>
        <w:t xml:space="preserve">In </w:t>
      </w:r>
      <w:proofErr w:type="spellStart"/>
      <w:r>
        <w:rPr>
          <w:rFonts w:ascii="Arial" w:hAnsi="Arial" w:cs="Arial"/>
          <w:color w:val="000000" w:themeColor="text1"/>
          <w:lang w:val="en-US" w:eastAsia="sv-SE"/>
        </w:rPr>
        <w:t>Tdoc</w:t>
      </w:r>
      <w:proofErr w:type="spellEnd"/>
      <w:r>
        <w:rPr>
          <w:rFonts w:ascii="Arial" w:hAnsi="Arial" w:cs="Arial"/>
          <w:color w:val="000000" w:themeColor="text1"/>
          <w:lang w:val="en-US" w:eastAsia="sv-SE"/>
        </w:rPr>
        <w:t xml:space="preserve"> R2-2007</w:t>
      </w:r>
      <w:r w:rsidR="001C2774">
        <w:rPr>
          <w:rFonts w:ascii="Arial" w:hAnsi="Arial" w:cs="Arial"/>
          <w:color w:val="000000" w:themeColor="text1"/>
          <w:lang w:val="en-US" w:eastAsia="sv-SE"/>
        </w:rPr>
        <w:t>411, we propose t</w:t>
      </w:r>
      <w:r w:rsidR="009B381D">
        <w:rPr>
          <w:rFonts w:ascii="Arial" w:hAnsi="Arial" w:cs="Arial"/>
          <w:color w:val="000000" w:themeColor="text1"/>
          <w:lang w:val="en-US" w:eastAsia="sv-SE"/>
        </w:rPr>
        <w:t>o include that in SNPN access mode, UE should ignore parameters in SIB1 that is of relevance for emergency services support. This would be aligned with how</w:t>
      </w:r>
      <w:r w:rsidR="008B1C81">
        <w:rPr>
          <w:rFonts w:ascii="Arial" w:hAnsi="Arial" w:cs="Arial"/>
          <w:color w:val="000000" w:themeColor="text1"/>
          <w:lang w:val="en-US" w:eastAsia="sv-SE"/>
        </w:rPr>
        <w:t xml:space="preserve"> SNPN is currently specified</w:t>
      </w:r>
      <w:r w:rsidR="009B381D">
        <w:rPr>
          <w:rFonts w:ascii="Arial" w:hAnsi="Arial" w:cs="Arial"/>
          <w:color w:val="000000" w:themeColor="text1"/>
          <w:lang w:val="en-US" w:eastAsia="sv-SE"/>
        </w:rPr>
        <w:t xml:space="preserve">. </w:t>
      </w:r>
    </w:p>
    <w:p w14:paraId="12734997" w14:textId="136E31DF" w:rsidR="00674BE3" w:rsidRDefault="009B381D" w:rsidP="0065529B">
      <w:pPr>
        <w:overflowPunct/>
        <w:autoSpaceDE/>
        <w:autoSpaceDN/>
        <w:adjustRightInd/>
        <w:spacing w:before="150" w:after="0"/>
        <w:textAlignment w:val="auto"/>
        <w:rPr>
          <w:rFonts w:ascii="Arial" w:hAnsi="Arial" w:cs="Arial"/>
          <w:color w:val="000000" w:themeColor="text1"/>
          <w:lang w:val="en-US" w:eastAsia="sv-SE"/>
        </w:rPr>
      </w:pPr>
      <w:r>
        <w:rPr>
          <w:rFonts w:ascii="Arial" w:hAnsi="Arial" w:cs="Arial"/>
          <w:color w:val="000000" w:themeColor="text1"/>
          <w:lang w:val="en-US" w:eastAsia="sv-SE"/>
        </w:rPr>
        <w:t>In t</w:t>
      </w:r>
      <w:r w:rsidR="00E833BE">
        <w:rPr>
          <w:rFonts w:ascii="Arial" w:hAnsi="Arial" w:cs="Arial"/>
          <w:color w:val="000000" w:themeColor="text1"/>
          <w:lang w:val="en-US" w:eastAsia="sv-SE"/>
        </w:rPr>
        <w:t>his paper</w:t>
      </w:r>
      <w:r>
        <w:rPr>
          <w:rFonts w:ascii="Arial" w:hAnsi="Arial" w:cs="Arial"/>
          <w:color w:val="000000" w:themeColor="text1"/>
          <w:lang w:val="en-US" w:eastAsia="sv-SE"/>
        </w:rPr>
        <w:t xml:space="preserve"> however, we </w:t>
      </w:r>
      <w:r w:rsidR="00066D6D">
        <w:rPr>
          <w:rFonts w:ascii="Arial" w:hAnsi="Arial" w:cs="Arial"/>
          <w:color w:val="000000" w:themeColor="text1"/>
          <w:lang w:val="en-US" w:eastAsia="sv-SE"/>
        </w:rPr>
        <w:t>ad</w:t>
      </w:r>
      <w:r w:rsidR="00795C82">
        <w:rPr>
          <w:rFonts w:ascii="Arial" w:hAnsi="Arial" w:cs="Arial"/>
          <w:color w:val="000000" w:themeColor="text1"/>
          <w:lang w:val="en-US" w:eastAsia="sv-SE"/>
        </w:rPr>
        <w:t>d</w:t>
      </w:r>
      <w:r w:rsidR="00066D6D">
        <w:rPr>
          <w:rFonts w:ascii="Arial" w:hAnsi="Arial" w:cs="Arial"/>
          <w:color w:val="000000" w:themeColor="text1"/>
          <w:lang w:val="en-US" w:eastAsia="sv-SE"/>
        </w:rPr>
        <w:t>ress</w:t>
      </w:r>
      <w:r>
        <w:rPr>
          <w:rFonts w:ascii="Arial" w:hAnsi="Arial" w:cs="Arial"/>
          <w:color w:val="000000" w:themeColor="text1"/>
          <w:lang w:val="en-US" w:eastAsia="sv-SE"/>
        </w:rPr>
        <w:t xml:space="preserve"> </w:t>
      </w:r>
      <w:r w:rsidR="0041673C">
        <w:rPr>
          <w:rFonts w:ascii="Arial" w:hAnsi="Arial" w:cs="Arial"/>
          <w:color w:val="000000" w:themeColor="text1"/>
          <w:lang w:val="en-US" w:eastAsia="sv-SE"/>
        </w:rPr>
        <w:t>aspects of SNPN access mode</w:t>
      </w:r>
      <w:r w:rsidR="006C7E55">
        <w:rPr>
          <w:rFonts w:ascii="Arial" w:hAnsi="Arial" w:cs="Arial"/>
          <w:color w:val="000000" w:themeColor="text1"/>
          <w:lang w:val="en-US" w:eastAsia="sv-SE"/>
        </w:rPr>
        <w:t xml:space="preserve"> and suggest that in </w:t>
      </w:r>
      <w:r w:rsidR="00E40D1A">
        <w:rPr>
          <w:rFonts w:ascii="Arial" w:hAnsi="Arial" w:cs="Arial"/>
          <w:color w:val="000000" w:themeColor="text1"/>
          <w:lang w:val="en-US" w:eastAsia="sv-SE"/>
        </w:rPr>
        <w:t xml:space="preserve">some situations, it </w:t>
      </w:r>
      <w:r w:rsidR="006C7E55">
        <w:rPr>
          <w:rFonts w:ascii="Arial" w:hAnsi="Arial" w:cs="Arial"/>
          <w:color w:val="000000" w:themeColor="text1"/>
          <w:lang w:val="en-US" w:eastAsia="sv-SE"/>
        </w:rPr>
        <w:t xml:space="preserve">would make more sense that UE </w:t>
      </w:r>
      <w:proofErr w:type="gramStart"/>
      <w:r w:rsidR="00165AC4">
        <w:rPr>
          <w:rFonts w:ascii="Arial" w:hAnsi="Arial" w:cs="Arial"/>
          <w:color w:val="000000" w:themeColor="text1"/>
          <w:lang w:val="en-US" w:eastAsia="sv-SE"/>
        </w:rPr>
        <w:t xml:space="preserve">actually </w:t>
      </w:r>
      <w:r w:rsidR="006532D4">
        <w:rPr>
          <w:rFonts w:ascii="Arial" w:hAnsi="Arial" w:cs="Arial"/>
          <w:color w:val="000000" w:themeColor="text1"/>
          <w:lang w:val="en-US" w:eastAsia="sv-SE"/>
        </w:rPr>
        <w:t>c</w:t>
      </w:r>
      <w:r w:rsidR="00A23F5E">
        <w:rPr>
          <w:rFonts w:ascii="Arial" w:hAnsi="Arial" w:cs="Arial"/>
          <w:color w:val="000000" w:themeColor="text1"/>
          <w:lang w:val="en-US" w:eastAsia="sv-SE"/>
        </w:rPr>
        <w:t>ould</w:t>
      </w:r>
      <w:proofErr w:type="gramEnd"/>
      <w:r w:rsidR="006532D4">
        <w:rPr>
          <w:rFonts w:ascii="Arial" w:hAnsi="Arial" w:cs="Arial"/>
          <w:color w:val="000000" w:themeColor="text1"/>
          <w:lang w:val="en-US" w:eastAsia="sv-SE"/>
        </w:rPr>
        <w:t xml:space="preserve"> </w:t>
      </w:r>
      <w:r w:rsidR="006870AE">
        <w:rPr>
          <w:rFonts w:ascii="Arial" w:hAnsi="Arial" w:cs="Arial"/>
          <w:color w:val="000000" w:themeColor="text1"/>
          <w:lang w:val="en-US" w:eastAsia="sv-SE"/>
        </w:rPr>
        <w:t>get</w:t>
      </w:r>
      <w:r w:rsidR="006532D4">
        <w:rPr>
          <w:rFonts w:ascii="Arial" w:hAnsi="Arial" w:cs="Arial"/>
          <w:color w:val="000000" w:themeColor="text1"/>
          <w:lang w:val="en-US" w:eastAsia="sv-SE"/>
        </w:rPr>
        <w:t xml:space="preserve"> </w:t>
      </w:r>
      <w:r w:rsidR="00B24D10">
        <w:rPr>
          <w:rFonts w:ascii="Arial" w:hAnsi="Arial" w:cs="Arial"/>
          <w:color w:val="000000" w:themeColor="text1"/>
          <w:lang w:val="en-US" w:eastAsia="sv-SE"/>
        </w:rPr>
        <w:t>limited services</w:t>
      </w:r>
      <w:r w:rsidR="00B24D10">
        <w:rPr>
          <w:rStyle w:val="FootnoteReference"/>
        </w:rPr>
        <w:footnoteReference w:id="2"/>
      </w:r>
      <w:r w:rsidR="006532D4">
        <w:rPr>
          <w:rFonts w:ascii="Arial" w:hAnsi="Arial" w:cs="Arial"/>
          <w:color w:val="000000" w:themeColor="text1"/>
          <w:lang w:val="en-US" w:eastAsia="sv-SE"/>
        </w:rPr>
        <w:t xml:space="preserve">, </w:t>
      </w:r>
      <w:r w:rsidR="006870AE">
        <w:rPr>
          <w:rFonts w:ascii="Arial" w:hAnsi="Arial" w:cs="Arial"/>
          <w:color w:val="000000" w:themeColor="text1"/>
          <w:lang w:val="en-US" w:eastAsia="sv-SE"/>
        </w:rPr>
        <w:t xml:space="preserve">but </w:t>
      </w:r>
      <w:r w:rsidR="006532D4">
        <w:rPr>
          <w:rFonts w:ascii="Arial" w:hAnsi="Arial" w:cs="Arial"/>
          <w:color w:val="000000" w:themeColor="text1"/>
          <w:lang w:val="en-US" w:eastAsia="sv-SE"/>
        </w:rPr>
        <w:t>from a PLMN</w:t>
      </w:r>
      <w:r w:rsidR="00930365">
        <w:rPr>
          <w:rFonts w:ascii="Arial" w:hAnsi="Arial" w:cs="Arial"/>
          <w:color w:val="000000" w:themeColor="text1"/>
          <w:lang w:val="en-US" w:eastAsia="sv-SE"/>
        </w:rPr>
        <w:t xml:space="preserve"> </w:t>
      </w:r>
      <w:r w:rsidR="00795C82">
        <w:rPr>
          <w:rFonts w:ascii="Arial" w:hAnsi="Arial" w:cs="Arial"/>
          <w:color w:val="000000" w:themeColor="text1"/>
          <w:lang w:val="en-US" w:eastAsia="sv-SE"/>
        </w:rPr>
        <w:t>"</w:t>
      </w:r>
      <w:r w:rsidR="00107E8C">
        <w:rPr>
          <w:rFonts w:ascii="Arial" w:hAnsi="Arial" w:cs="Arial"/>
          <w:color w:val="000000" w:themeColor="text1"/>
          <w:lang w:val="en-US" w:eastAsia="sv-SE"/>
        </w:rPr>
        <w:t>acceptable cell</w:t>
      </w:r>
      <w:r w:rsidR="00795C82">
        <w:rPr>
          <w:rFonts w:ascii="Arial" w:hAnsi="Arial" w:cs="Arial"/>
          <w:color w:val="000000" w:themeColor="text1"/>
          <w:lang w:val="en-US" w:eastAsia="sv-SE"/>
        </w:rPr>
        <w:t>"</w:t>
      </w:r>
      <w:r w:rsidR="00107E8C">
        <w:rPr>
          <w:rFonts w:ascii="Arial" w:hAnsi="Arial" w:cs="Arial"/>
          <w:color w:val="000000" w:themeColor="text1"/>
          <w:lang w:val="en-US" w:eastAsia="sv-SE"/>
        </w:rPr>
        <w:t xml:space="preserve"> </w:t>
      </w:r>
      <w:r w:rsidR="00930365">
        <w:rPr>
          <w:rFonts w:ascii="Arial" w:hAnsi="Arial" w:cs="Arial"/>
          <w:color w:val="000000" w:themeColor="text1"/>
          <w:lang w:val="en-US" w:eastAsia="sv-SE"/>
        </w:rPr>
        <w:t>and not an SNPN</w:t>
      </w:r>
      <w:r w:rsidR="00107E8C">
        <w:rPr>
          <w:rFonts w:ascii="Arial" w:hAnsi="Arial" w:cs="Arial"/>
          <w:color w:val="000000" w:themeColor="text1"/>
          <w:lang w:val="en-US" w:eastAsia="sv-SE"/>
        </w:rPr>
        <w:t xml:space="preserve"> cell</w:t>
      </w:r>
      <w:r w:rsidR="006870AE">
        <w:rPr>
          <w:rFonts w:ascii="Arial" w:hAnsi="Arial" w:cs="Arial"/>
          <w:color w:val="000000" w:themeColor="text1"/>
          <w:lang w:val="en-US" w:eastAsia="sv-SE"/>
        </w:rPr>
        <w:t xml:space="preserve">. </w:t>
      </w:r>
      <w:r w:rsidR="006C7E55">
        <w:rPr>
          <w:rFonts w:ascii="Arial" w:hAnsi="Arial" w:cs="Arial"/>
          <w:color w:val="000000" w:themeColor="text1"/>
          <w:lang w:val="en-US" w:eastAsia="sv-SE"/>
        </w:rPr>
        <w:t xml:space="preserve">This is when </w:t>
      </w:r>
      <w:r w:rsidR="00674BE3">
        <w:rPr>
          <w:rFonts w:ascii="Arial" w:hAnsi="Arial" w:cs="Arial"/>
          <w:color w:val="000000" w:themeColor="text1"/>
          <w:lang w:val="en-US" w:eastAsia="sv-SE"/>
        </w:rPr>
        <w:t>UE is out-of-coverage from an allowed SNPN.</w:t>
      </w:r>
    </w:p>
    <w:p w14:paraId="2A2A1FB3" w14:textId="4E05E8C4" w:rsidR="007644F0" w:rsidRDefault="00230D18" w:rsidP="00982D6B">
      <w:pPr>
        <w:pStyle w:val="Heading1"/>
        <w:rPr>
          <w:rFonts w:cs="Arial"/>
        </w:rPr>
      </w:pPr>
      <w:bookmarkStart w:id="0" w:name="_Ref178064866"/>
      <w:r w:rsidRPr="00034BC1">
        <w:rPr>
          <w:rFonts w:cs="Arial"/>
        </w:rPr>
        <w:t>2</w:t>
      </w:r>
      <w:r w:rsidRPr="00034BC1">
        <w:rPr>
          <w:rFonts w:cs="Arial"/>
        </w:rPr>
        <w:tab/>
      </w:r>
      <w:r w:rsidR="004000E8" w:rsidRPr="00034BC1">
        <w:rPr>
          <w:rFonts w:cs="Arial"/>
        </w:rPr>
        <w:t>Discussion</w:t>
      </w:r>
      <w:bookmarkEnd w:id="0"/>
    </w:p>
    <w:p w14:paraId="439FC73C" w14:textId="2760BDF4" w:rsidR="00707635" w:rsidRDefault="00707635" w:rsidP="00795C82">
      <w:pPr>
        <w:pStyle w:val="Heading2"/>
        <w:rPr>
          <w:lang w:val="en-US" w:eastAsia="sv-SE"/>
        </w:rPr>
      </w:pPr>
      <w:r>
        <w:rPr>
          <w:lang w:val="en-US" w:eastAsia="sv-SE"/>
        </w:rPr>
        <w:t>2.1</w:t>
      </w:r>
      <w:r>
        <w:rPr>
          <w:lang w:val="en-US" w:eastAsia="sv-SE"/>
        </w:rPr>
        <w:tab/>
        <w:t>Current specification and desired option</w:t>
      </w:r>
    </w:p>
    <w:p w14:paraId="0D6D37F4" w14:textId="66FCCCC9" w:rsidR="009D7F6D" w:rsidRDefault="009D7F6D" w:rsidP="00795C82">
      <w:pPr>
        <w:overflowPunct/>
        <w:autoSpaceDE/>
        <w:autoSpaceDN/>
        <w:adjustRightInd/>
        <w:spacing w:before="150" w:after="0"/>
        <w:textAlignment w:val="auto"/>
        <w:rPr>
          <w:rFonts w:ascii="Arial" w:hAnsi="Arial" w:cs="Arial"/>
          <w:color w:val="000000" w:themeColor="text1"/>
          <w:lang w:val="en-US" w:eastAsia="sv-SE"/>
        </w:rPr>
      </w:pPr>
      <w:r w:rsidDel="00C142D0">
        <w:rPr>
          <w:rFonts w:ascii="Arial" w:hAnsi="Arial" w:cs="Arial"/>
          <w:color w:val="000000" w:themeColor="text1"/>
          <w:lang w:val="en-US" w:eastAsia="sv-SE"/>
        </w:rPr>
        <w:t xml:space="preserve">Stage 2 specification </w:t>
      </w:r>
      <w:r w:rsidDel="00C142D0">
        <w:rPr>
          <w:rFonts w:ascii="Arial" w:hAnsi="Arial" w:cs="Arial"/>
          <w:color w:val="000000" w:themeColor="text1"/>
          <w:lang w:val="en-US" w:eastAsia="sv-SE"/>
        </w:rPr>
        <w:t>(23.501) states, on SNPN Access Mode</w:t>
      </w:r>
      <w:r w:rsidR="00795C82">
        <w:rPr>
          <w:rFonts w:ascii="Arial" w:hAnsi="Arial" w:cs="Arial"/>
          <w:color w:val="000000" w:themeColor="text1"/>
          <w:lang w:val="en-US" w:eastAsia="sv-SE"/>
        </w:rPr>
        <w:t>:</w:t>
      </w:r>
    </w:p>
    <w:p w14:paraId="0B492F50" w14:textId="77777777" w:rsidR="00795C82" w:rsidRPr="00795C82" w:rsidRDefault="00795C82" w:rsidP="00795C82">
      <w:pPr>
        <w:overflowPunct/>
        <w:autoSpaceDE/>
        <w:autoSpaceDN/>
        <w:adjustRightInd/>
        <w:spacing w:before="150" w:after="0"/>
        <w:textAlignment w:val="auto"/>
        <w:rPr>
          <w:rFonts w:ascii="Arial" w:hAnsi="Arial" w:cs="Arial"/>
          <w:color w:val="000000" w:themeColor="text1"/>
          <w:lang w:val="en-US" w:eastAsia="sv-SE"/>
        </w:rPr>
      </w:pPr>
    </w:p>
    <w:tbl>
      <w:tblPr>
        <w:tblStyle w:val="TableGrid"/>
        <w:tblW w:w="0" w:type="auto"/>
        <w:tblLook w:val="04A0" w:firstRow="1" w:lastRow="0" w:firstColumn="1" w:lastColumn="0" w:noHBand="0" w:noVBand="1"/>
      </w:tblPr>
      <w:tblGrid>
        <w:gridCol w:w="9629"/>
      </w:tblGrid>
      <w:tr w:rsidR="00795C82" w14:paraId="3BA300CB" w14:textId="77777777" w:rsidTr="00795C82">
        <w:tc>
          <w:tcPr>
            <w:tcW w:w="9629" w:type="dxa"/>
          </w:tcPr>
          <w:p w14:paraId="4066A9C3" w14:textId="77777777" w:rsidR="00795C82" w:rsidRPr="00DD20F9" w:rsidDel="00C142D0" w:rsidRDefault="00795C82" w:rsidP="00795C82">
            <w:pPr>
              <w:pStyle w:val="Heading4"/>
              <w:outlineLvl w:val="3"/>
              <w:rPr>
                <w:i/>
                <w:iCs/>
                <w:lang w:eastAsia="x-none"/>
              </w:rPr>
            </w:pPr>
            <w:r w:rsidRPr="00DD20F9" w:rsidDel="00C142D0">
              <w:rPr>
                <w:i/>
                <w:iCs/>
              </w:rPr>
              <w:t>5.30.2.3</w:t>
            </w:r>
            <w:r w:rsidRPr="00DD20F9" w:rsidDel="00C142D0">
              <w:rPr>
                <w:i/>
                <w:iCs/>
              </w:rPr>
              <w:tab/>
              <w:t>UE configuration and subscription aspects</w:t>
            </w:r>
          </w:p>
          <w:p w14:paraId="3D8B6B04" w14:textId="77777777" w:rsidR="00795C82" w:rsidDel="00C142D0" w:rsidRDefault="00795C82" w:rsidP="00795C82">
            <w:pPr>
              <w:rPr>
                <w:i/>
                <w:iCs/>
              </w:rPr>
            </w:pPr>
            <w:r w:rsidDel="00C142D0">
              <w:rPr>
                <w:i/>
                <w:iCs/>
              </w:rPr>
              <w:t>…</w:t>
            </w:r>
          </w:p>
          <w:p w14:paraId="289555BE" w14:textId="77777777" w:rsidR="00795C82" w:rsidRPr="00DD20F9" w:rsidDel="00C142D0" w:rsidRDefault="00795C82" w:rsidP="00795C82">
            <w:pPr>
              <w:rPr>
                <w:i/>
                <w:iCs/>
                <w:lang w:eastAsia="en-US"/>
              </w:rPr>
            </w:pPr>
            <w:r w:rsidRPr="00DD20F9" w:rsidDel="00C142D0">
              <w:rPr>
                <w:i/>
                <w:iCs/>
              </w:rPr>
              <w:t>An SNPN-enabled UE supports the SNPN access mode. When the UE is set to operate in SNPN access mode the UE only selects and registers with SNPNs over Uu as described in clause 5.30.2.4.</w:t>
            </w:r>
          </w:p>
          <w:p w14:paraId="040712F9" w14:textId="77777777" w:rsidR="00795C82" w:rsidRPr="00DD20F9" w:rsidDel="00C142D0" w:rsidRDefault="00795C82" w:rsidP="00795C82">
            <w:pPr>
              <w:rPr>
                <w:i/>
                <w:iCs/>
              </w:rPr>
            </w:pPr>
            <w:r w:rsidRPr="00DD20F9" w:rsidDel="00C142D0">
              <w:rPr>
                <w:i/>
                <w:iCs/>
              </w:rPr>
              <w:t>Emergency services are not supported in SNPN access mode.</w:t>
            </w:r>
          </w:p>
          <w:p w14:paraId="1E6F8FBC" w14:textId="77777777" w:rsidR="00795C82" w:rsidRPr="00DD20F9" w:rsidDel="00C142D0" w:rsidRDefault="00795C82" w:rsidP="00795C82">
            <w:pPr>
              <w:pStyle w:val="NO"/>
              <w:rPr>
                <w:i/>
                <w:iCs/>
              </w:rPr>
            </w:pPr>
            <w:r w:rsidRPr="00DD20F9" w:rsidDel="00C142D0">
              <w:rPr>
                <w:i/>
                <w:iCs/>
              </w:rPr>
              <w:t>NOTE 1:</w:t>
            </w:r>
            <w:r w:rsidRPr="00DD20F9" w:rsidDel="00C142D0">
              <w:rPr>
                <w:i/>
                <w:iCs/>
              </w:rPr>
              <w:tab/>
              <w:t>Voice support with emergency services in SNPN access mode is not specified in this release.</w:t>
            </w:r>
          </w:p>
          <w:p w14:paraId="38E9D865" w14:textId="77777777" w:rsidR="00795C82" w:rsidRPr="00DD20F9" w:rsidDel="00C142D0" w:rsidRDefault="00795C82" w:rsidP="00795C82">
            <w:pPr>
              <w:rPr>
                <w:i/>
                <w:iCs/>
              </w:rPr>
            </w:pPr>
            <w:r w:rsidRPr="00DD20F9" w:rsidDel="00C142D0">
              <w:rPr>
                <w:i/>
                <w:iCs/>
              </w:rPr>
              <w:t>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Annex D.4 provides more details.</w:t>
            </w:r>
          </w:p>
          <w:p w14:paraId="7528DC94" w14:textId="34751B79" w:rsidR="00795C82" w:rsidRPr="00795C82" w:rsidRDefault="00795C82" w:rsidP="00795C82">
            <w:pPr>
              <w:pStyle w:val="NO"/>
              <w:rPr>
                <w:i/>
                <w:iCs/>
              </w:rPr>
            </w:pPr>
            <w:r w:rsidRPr="00DD20F9" w:rsidDel="00C142D0">
              <w:rPr>
                <w:i/>
                <w:iCs/>
              </w:rPr>
              <w:t>NOTE 2:</w:t>
            </w:r>
            <w:r w:rsidRPr="00DD20F9" w:rsidDel="00C142D0">
              <w:rPr>
                <w:i/>
                <w:iCs/>
              </w:rPr>
              <w:tab/>
              <w:t>Details of activation and deactivation of SNPN access mode are up to UE implementation.</w:t>
            </w:r>
          </w:p>
        </w:tc>
      </w:tr>
    </w:tbl>
    <w:p w14:paraId="55771AAE" w14:textId="77777777" w:rsidR="00795C82" w:rsidDel="00C142D0" w:rsidRDefault="00795C82" w:rsidP="009D7F6D">
      <w:pPr>
        <w:rPr>
          <w:rFonts w:ascii="Arial" w:hAnsi="Arial" w:cs="Arial"/>
          <w:i/>
          <w:iCs/>
          <w:color w:val="000000" w:themeColor="text1"/>
          <w:lang w:eastAsia="sv-SE"/>
        </w:rPr>
      </w:pPr>
    </w:p>
    <w:p w14:paraId="6AD5800A" w14:textId="4CA48505" w:rsidR="009D7F6D" w:rsidDel="00C142D0" w:rsidRDefault="009D7F6D" w:rsidP="009D7F6D">
      <w:pPr>
        <w:rPr>
          <w:rFonts w:ascii="Arial" w:hAnsi="Arial" w:cs="Arial"/>
          <w:i/>
          <w:iCs/>
          <w:color w:val="000000" w:themeColor="text1"/>
          <w:lang w:eastAsia="sv-SE"/>
        </w:rPr>
      </w:pPr>
    </w:p>
    <w:p w14:paraId="1B9DF8CB" w14:textId="77777777" w:rsidR="009D7F6D" w:rsidDel="00C142D0" w:rsidRDefault="009D7F6D" w:rsidP="009D7F6D">
      <w:pPr>
        <w:rPr>
          <w:rFonts w:ascii="Arial" w:hAnsi="Arial" w:cs="Arial"/>
          <w:color w:val="000000" w:themeColor="text1"/>
          <w:lang w:eastAsia="sv-SE"/>
        </w:rPr>
      </w:pPr>
      <w:r w:rsidRPr="00DD20F9" w:rsidDel="00C142D0">
        <w:rPr>
          <w:rFonts w:ascii="Arial" w:hAnsi="Arial" w:cs="Arial"/>
          <w:color w:val="000000" w:themeColor="text1"/>
          <w:lang w:eastAsia="sv-SE"/>
        </w:rPr>
        <w:lastRenderedPageBreak/>
        <w:t>The network selection</w:t>
      </w:r>
      <w:r w:rsidDel="00C142D0">
        <w:rPr>
          <w:rFonts w:ascii="Arial" w:hAnsi="Arial" w:cs="Arial"/>
          <w:color w:val="000000" w:themeColor="text1"/>
          <w:lang w:eastAsia="sv-SE"/>
        </w:rPr>
        <w:t xml:space="preserve"> for SNPN is specified in TS23.122. For automatic network selection, it is stated that:</w:t>
      </w:r>
    </w:p>
    <w:tbl>
      <w:tblPr>
        <w:tblStyle w:val="TableGrid"/>
        <w:tblW w:w="0" w:type="auto"/>
        <w:tblLook w:val="04A0" w:firstRow="1" w:lastRow="0" w:firstColumn="1" w:lastColumn="0" w:noHBand="0" w:noVBand="1"/>
      </w:tblPr>
      <w:tblGrid>
        <w:gridCol w:w="9629"/>
      </w:tblGrid>
      <w:tr w:rsidR="00795C82" w14:paraId="32C6CC25" w14:textId="77777777" w:rsidTr="00795C82">
        <w:tc>
          <w:tcPr>
            <w:tcW w:w="9629" w:type="dxa"/>
          </w:tcPr>
          <w:p w14:paraId="69E42119" w14:textId="77777777" w:rsidR="00795C82" w:rsidRPr="0028703C" w:rsidDel="00C142D0" w:rsidRDefault="00795C82" w:rsidP="00795C82">
            <w:pPr>
              <w:pStyle w:val="Heading5"/>
              <w:outlineLvl w:val="4"/>
              <w:rPr>
                <w:i/>
                <w:iCs/>
                <w:lang w:eastAsia="x-none"/>
              </w:rPr>
            </w:pPr>
            <w:r w:rsidRPr="0028703C" w:rsidDel="00C142D0">
              <w:rPr>
                <w:i/>
                <w:iCs/>
              </w:rPr>
              <w:t>4.9.3.1.1</w:t>
            </w:r>
            <w:r w:rsidRPr="0028703C" w:rsidDel="00C142D0">
              <w:rPr>
                <w:i/>
                <w:iCs/>
              </w:rPr>
              <w:tab/>
              <w:t>Automatic SNPN selection mode procedure</w:t>
            </w:r>
          </w:p>
          <w:p w14:paraId="6FD6B3E4" w14:textId="77777777" w:rsidR="00795C82" w:rsidRPr="0028703C" w:rsidDel="00C142D0" w:rsidRDefault="00795C82" w:rsidP="00795C82">
            <w:pPr>
              <w:rPr>
                <w:i/>
                <w:iCs/>
              </w:rPr>
            </w:pPr>
            <w:r w:rsidDel="00C142D0">
              <w:rPr>
                <w:i/>
                <w:iCs/>
              </w:rPr>
              <w:t>…</w:t>
            </w:r>
          </w:p>
          <w:p w14:paraId="1AC01CAE" w14:textId="77777777" w:rsidR="00795C82" w:rsidRPr="0028703C" w:rsidDel="00C142D0" w:rsidRDefault="00795C82" w:rsidP="00795C82">
            <w:pPr>
              <w:rPr>
                <w:i/>
                <w:iCs/>
              </w:rPr>
            </w:pPr>
            <w:r w:rsidRPr="0028703C" w:rsidDel="00C142D0">
              <w:rPr>
                <w:i/>
                <w:iCs/>
              </w:rPr>
              <w:t xml:space="preserve">If registration cannot be achieved because no SNPNs are available, allowable, and identified by an </w:t>
            </w:r>
            <w:r w:rsidRPr="0028703C" w:rsidDel="00C142D0">
              <w:rPr>
                <w:i/>
                <w:iCs/>
                <w:noProof/>
              </w:rPr>
              <w:t xml:space="preserve">SNPN identity in an </w:t>
            </w:r>
            <w:r w:rsidRPr="0028703C" w:rsidDel="00C142D0">
              <w:rPr>
                <w:i/>
                <w:iCs/>
              </w:rPr>
              <w:t xml:space="preserve">entry of the "list of </w:t>
            </w:r>
            <w:r w:rsidRPr="0028703C" w:rsidDel="00C142D0">
              <w:rPr>
                <w:i/>
                <w:iCs/>
                <w:noProof/>
              </w:rPr>
              <w:t xml:space="preserve">subscriber data" </w:t>
            </w:r>
            <w:r w:rsidRPr="0028703C" w:rsidDel="00C142D0">
              <w:rPr>
                <w:i/>
                <w:iCs/>
              </w:rPr>
              <w:t xml:space="preserve">in the ME, the MS indicates "no service" to the user, waits until a new SNPN is available, allowable, and identified by an </w:t>
            </w:r>
            <w:r w:rsidRPr="0028703C" w:rsidDel="00C142D0">
              <w:rPr>
                <w:i/>
                <w:iCs/>
                <w:noProof/>
              </w:rPr>
              <w:t xml:space="preserve">SNPN identity in an </w:t>
            </w:r>
            <w:r w:rsidRPr="0028703C" w:rsidDel="00C142D0">
              <w:rPr>
                <w:i/>
                <w:iCs/>
              </w:rPr>
              <w:t xml:space="preserve">entry of the "list of </w:t>
            </w:r>
            <w:r w:rsidRPr="0028703C" w:rsidDel="00C142D0">
              <w:rPr>
                <w:i/>
                <w:iCs/>
                <w:noProof/>
              </w:rPr>
              <w:t xml:space="preserve">subscriber data" </w:t>
            </w:r>
            <w:r w:rsidRPr="0028703C" w:rsidDel="00C142D0">
              <w:rPr>
                <w:i/>
                <w:iCs/>
              </w:rPr>
              <w:t>in the ME and then repeats the procedure.</w:t>
            </w:r>
          </w:p>
          <w:p w14:paraId="10D7683E" w14:textId="75E73B8B" w:rsidR="00795C82" w:rsidRPr="00795C82" w:rsidRDefault="00795C82" w:rsidP="009D7F6D">
            <w:pPr>
              <w:rPr>
                <w:i/>
                <w:iCs/>
              </w:rPr>
            </w:pPr>
            <w:r w:rsidRPr="0028703C" w:rsidDel="00C142D0">
              <w:rPr>
                <w:i/>
                <w:iCs/>
              </w:rPr>
              <w:t xml:space="preserve">If there were one or more SNPNs which were available, allowable, and identified by an </w:t>
            </w:r>
            <w:r w:rsidRPr="0028703C" w:rsidDel="00C142D0">
              <w:rPr>
                <w:i/>
                <w:iCs/>
                <w:noProof/>
              </w:rPr>
              <w:t xml:space="preserve">SNPN identity in an </w:t>
            </w:r>
            <w:r w:rsidRPr="0028703C" w:rsidDel="00C142D0">
              <w:rPr>
                <w:i/>
                <w:iCs/>
              </w:rPr>
              <w:t xml:space="preserve">entry of the "list of </w:t>
            </w:r>
            <w:r w:rsidRPr="0028703C" w:rsidDel="00C142D0">
              <w:rPr>
                <w:i/>
                <w:iCs/>
                <w:noProof/>
              </w:rPr>
              <w:t xml:space="preserve">subscriber data" </w:t>
            </w:r>
            <w:r w:rsidRPr="0028703C" w:rsidDel="00C142D0">
              <w:rPr>
                <w:i/>
                <w:iCs/>
              </w:rPr>
              <w:t>in the ME but an LR failure made registration on those SNPNs unsuccessful, the MS selects one of those SNPNs again and enters a limited service state.</w:t>
            </w:r>
          </w:p>
        </w:tc>
      </w:tr>
    </w:tbl>
    <w:p w14:paraId="78A746BB" w14:textId="14159599" w:rsidR="009E229F" w:rsidRDefault="009D7F6D" w:rsidP="009D7F6D">
      <w:pPr>
        <w:overflowPunct/>
        <w:autoSpaceDE/>
        <w:autoSpaceDN/>
        <w:adjustRightInd/>
        <w:spacing w:before="150" w:after="0"/>
        <w:textAlignment w:val="auto"/>
      </w:pPr>
      <w:r>
        <w:t xml:space="preserve">From the above, it can be concluded that </w:t>
      </w:r>
      <w:r w:rsidR="009F703D">
        <w:t>a UE in SNPN access mode, in situations when normal services are not possible ends up in a no service state</w:t>
      </w:r>
      <w:r w:rsidR="006C4D00">
        <w:t xml:space="preserve"> (limited service state in R16 on an SNPN is basically no service)</w:t>
      </w:r>
      <w:r w:rsidR="002C1F54">
        <w:t xml:space="preserve">, irrespective of if there are </w:t>
      </w:r>
      <w:r w:rsidR="00ED4699">
        <w:t xml:space="preserve">acceptable cells </w:t>
      </w:r>
      <w:r w:rsidR="006D01D4">
        <w:t>available from other networks, for which there is coverage.</w:t>
      </w:r>
    </w:p>
    <w:p w14:paraId="20D87CFD" w14:textId="77777777" w:rsidR="008F7C09" w:rsidRDefault="008F7C09" w:rsidP="00795C82">
      <w:pPr>
        <w:overflowPunct/>
        <w:autoSpaceDE/>
        <w:autoSpaceDN/>
        <w:adjustRightInd/>
        <w:spacing w:before="150" w:after="0"/>
        <w:textAlignment w:val="auto"/>
      </w:pPr>
    </w:p>
    <w:p w14:paraId="34A4B740" w14:textId="2BDE53B0" w:rsidR="00941EB2" w:rsidRDefault="00941EB2">
      <w:pPr>
        <w:pStyle w:val="Observation"/>
        <w:rPr>
          <w:rFonts w:cs="Arial"/>
        </w:rPr>
      </w:pPr>
      <w:bookmarkStart w:id="1" w:name="_Toc47636444"/>
      <w:r>
        <w:rPr>
          <w:rFonts w:cs="Arial"/>
        </w:rPr>
        <w:t xml:space="preserve">If a UE cannot get </w:t>
      </w:r>
      <w:r w:rsidR="0084599E">
        <w:rPr>
          <w:rFonts w:cs="Arial"/>
        </w:rPr>
        <w:t xml:space="preserve">normal </w:t>
      </w:r>
      <w:r>
        <w:rPr>
          <w:rFonts w:cs="Arial"/>
        </w:rPr>
        <w:t xml:space="preserve">service </w:t>
      </w:r>
      <w:r w:rsidR="0084599E">
        <w:rPr>
          <w:rFonts w:cs="Arial"/>
        </w:rPr>
        <w:t>from a su</w:t>
      </w:r>
      <w:r w:rsidR="00B11387">
        <w:rPr>
          <w:rFonts w:cs="Arial"/>
        </w:rPr>
        <w:t>itable</w:t>
      </w:r>
      <w:r>
        <w:rPr>
          <w:rFonts w:cs="Arial"/>
        </w:rPr>
        <w:t xml:space="preserve"> SNPN cell, the </w:t>
      </w:r>
      <w:r w:rsidR="00D6235D">
        <w:rPr>
          <w:rFonts w:cs="Arial"/>
        </w:rPr>
        <w:t xml:space="preserve">specification </w:t>
      </w:r>
      <w:r w:rsidR="00A56F0F">
        <w:rPr>
          <w:rFonts w:cs="Arial"/>
        </w:rPr>
        <w:t xml:space="preserve">leads to no service </w:t>
      </w:r>
      <w:r w:rsidR="002C5057">
        <w:rPr>
          <w:rFonts w:cs="Arial"/>
        </w:rPr>
        <w:t>at all</w:t>
      </w:r>
      <w:r>
        <w:rPr>
          <w:rFonts w:cs="Arial"/>
        </w:rPr>
        <w:t xml:space="preserve">, irrespective of if there is coverage for </w:t>
      </w:r>
      <w:r w:rsidR="00B701A3">
        <w:rPr>
          <w:rFonts w:cs="Arial"/>
        </w:rPr>
        <w:t>limited service (</w:t>
      </w:r>
      <w:r>
        <w:rPr>
          <w:rFonts w:cs="Arial"/>
        </w:rPr>
        <w:t>emergency</w:t>
      </w:r>
      <w:r w:rsidR="00AA2BC8">
        <w:rPr>
          <w:rFonts w:cs="Arial"/>
        </w:rPr>
        <w:t xml:space="preserve">, PWS) from </w:t>
      </w:r>
      <w:r w:rsidR="00F84F90">
        <w:rPr>
          <w:rFonts w:cs="Arial"/>
        </w:rPr>
        <w:t>PLMNs</w:t>
      </w:r>
      <w:bookmarkEnd w:id="1"/>
    </w:p>
    <w:p w14:paraId="19D1C6F7" w14:textId="77777777" w:rsidR="00F84F90" w:rsidRDefault="00F84F90" w:rsidP="00F84F90">
      <w:pPr>
        <w:pStyle w:val="Observation"/>
        <w:numPr>
          <w:ilvl w:val="0"/>
          <w:numId w:val="0"/>
        </w:numPr>
        <w:ind w:left="1701" w:hanging="1701"/>
        <w:rPr>
          <w:rFonts w:cs="Arial"/>
        </w:rPr>
      </w:pPr>
    </w:p>
    <w:p w14:paraId="17C33CEE" w14:textId="4372F628" w:rsidR="005E4717" w:rsidRDefault="000177C8" w:rsidP="000177C8">
      <w:r>
        <w:t xml:space="preserve">The way to get </w:t>
      </w:r>
      <w:r w:rsidR="00F24AB0">
        <w:t>to limited services a</w:t>
      </w:r>
      <w:r>
        <w:t xml:space="preserve">t all in Release 16, when in SNPN access mode and </w:t>
      </w:r>
      <w:r w:rsidR="006066F6">
        <w:t xml:space="preserve">outside any allowable SNPN coverage </w:t>
      </w:r>
      <w:r>
        <w:t>service</w:t>
      </w:r>
      <w:r w:rsidR="006066F6">
        <w:t xml:space="preserve">, would </w:t>
      </w:r>
      <w:r w:rsidR="00581CEA">
        <w:t xml:space="preserve">require a </w:t>
      </w:r>
      <w:r w:rsidR="006066F6">
        <w:t xml:space="preserve">switch </w:t>
      </w:r>
      <w:r w:rsidR="00581CEA">
        <w:t xml:space="preserve">of </w:t>
      </w:r>
      <w:r w:rsidR="006066F6">
        <w:t>access mode</w:t>
      </w:r>
      <w:r w:rsidR="00E87973">
        <w:t xml:space="preserve"> and how this is done is up to UE implementation. </w:t>
      </w:r>
      <w:r w:rsidR="003325D4">
        <w:t xml:space="preserve">An implementation that, as soon as it is outside of SNPN coverage, </w:t>
      </w:r>
      <w:r w:rsidR="00DE4E9E">
        <w:t xml:space="preserve">switch to allow selection of PLMN </w:t>
      </w:r>
      <w:r w:rsidR="00296C53">
        <w:t xml:space="preserve">if nothing else to allow limited service would, in our understanding, be a reasonable </w:t>
      </w:r>
      <w:r w:rsidR="009F5088">
        <w:t>implementation.</w:t>
      </w:r>
      <w:r w:rsidR="00C10E97">
        <w:t xml:space="preserve"> </w:t>
      </w:r>
    </w:p>
    <w:p w14:paraId="7D1D2CA4" w14:textId="4190FE50" w:rsidR="000177C8" w:rsidRDefault="00C10E97" w:rsidP="000177C8">
      <w:r>
        <w:t>This would however mean that</w:t>
      </w:r>
      <w:r w:rsidR="00B7143A">
        <w:t xml:space="preserve"> to get back to </w:t>
      </w:r>
      <w:r w:rsidR="005F3CF0">
        <w:t xml:space="preserve">an SNPN (that possibly is preferred over PLMN) </w:t>
      </w:r>
      <w:r w:rsidR="004E5CEB">
        <w:t>there would need to be another access mode switch back</w:t>
      </w:r>
      <w:r w:rsidR="005E4717">
        <w:t xml:space="preserve"> to SNPN access mode</w:t>
      </w:r>
      <w:r w:rsidR="004E5CEB">
        <w:t xml:space="preserve">. </w:t>
      </w:r>
    </w:p>
    <w:p w14:paraId="34C5A747" w14:textId="01729668" w:rsidR="00150AFE" w:rsidRDefault="00150AFE">
      <w:pPr>
        <w:pStyle w:val="Observation"/>
        <w:rPr>
          <w:rFonts w:cs="Arial"/>
        </w:rPr>
      </w:pPr>
      <w:bookmarkStart w:id="2" w:name="_Toc47636445"/>
      <w:r>
        <w:rPr>
          <w:rFonts w:cs="Arial"/>
        </w:rPr>
        <w:t xml:space="preserve">A reasonable UE implementation </w:t>
      </w:r>
      <w:r w:rsidR="00422687">
        <w:rPr>
          <w:rFonts w:cs="Arial"/>
        </w:rPr>
        <w:t xml:space="preserve">may </w:t>
      </w:r>
      <w:r>
        <w:rPr>
          <w:rFonts w:cs="Arial"/>
        </w:rPr>
        <w:t xml:space="preserve">switch from </w:t>
      </w:r>
      <w:r w:rsidR="00CC6CE7">
        <w:rPr>
          <w:rFonts w:cs="Arial"/>
        </w:rPr>
        <w:t xml:space="preserve">SNPN Access Mode when no service is available, at least to get to a limited service state in a PLMN. To then switch back to </w:t>
      </w:r>
      <w:r w:rsidR="00E07F6B">
        <w:rPr>
          <w:rFonts w:cs="Arial"/>
        </w:rPr>
        <w:t xml:space="preserve">a </w:t>
      </w:r>
      <w:r w:rsidR="00CC6CE7">
        <w:rPr>
          <w:rFonts w:cs="Arial"/>
        </w:rPr>
        <w:t>(possibly a preferred) SNPN</w:t>
      </w:r>
      <w:r w:rsidR="00E07F6B">
        <w:rPr>
          <w:rFonts w:cs="Arial"/>
        </w:rPr>
        <w:t xml:space="preserve"> cell</w:t>
      </w:r>
      <w:r w:rsidR="00CC6CE7">
        <w:rPr>
          <w:rFonts w:cs="Arial"/>
        </w:rPr>
        <w:t>, yet another access mode change need</w:t>
      </w:r>
      <w:r w:rsidR="00FF3BAF">
        <w:rPr>
          <w:rFonts w:cs="Arial"/>
        </w:rPr>
        <w:t>s</w:t>
      </w:r>
      <w:r w:rsidR="00CC6CE7">
        <w:rPr>
          <w:rFonts w:cs="Arial"/>
        </w:rPr>
        <w:t xml:space="preserve"> to take place.</w:t>
      </w:r>
      <w:bookmarkEnd w:id="2"/>
    </w:p>
    <w:p w14:paraId="200F1E7B" w14:textId="77777777" w:rsidR="002433D2" w:rsidRDefault="002433D2" w:rsidP="000177C8"/>
    <w:p w14:paraId="172668E8" w14:textId="4956BFF6" w:rsidR="00230859" w:rsidRDefault="009011EF" w:rsidP="000177C8">
      <w:r>
        <w:t>We think it would be advantageous if the standard</w:t>
      </w:r>
      <w:r w:rsidR="00262463">
        <w:t xml:space="preserve"> </w:t>
      </w:r>
      <w:r w:rsidR="00AF72BE">
        <w:t>provide</w:t>
      </w:r>
      <w:r w:rsidR="00AA73A2">
        <w:t>s</w:t>
      </w:r>
      <w:r w:rsidR="00AF72BE">
        <w:t xml:space="preserve"> a solution </w:t>
      </w:r>
      <w:r w:rsidR="0053418E">
        <w:t xml:space="preserve">such that </w:t>
      </w:r>
      <w:r w:rsidR="007D05DD">
        <w:t>a UE</w:t>
      </w:r>
      <w:r w:rsidR="001160E4">
        <w:t xml:space="preserve"> always</w:t>
      </w:r>
      <w:r w:rsidR="007D05DD">
        <w:t xml:space="preserve"> camp on a</w:t>
      </w:r>
      <w:r w:rsidR="00FF211F">
        <w:t>n acceptable</w:t>
      </w:r>
      <w:r w:rsidR="007D05DD">
        <w:t xml:space="preserve"> cell that </w:t>
      </w:r>
      <w:r w:rsidR="008E6400">
        <w:t xml:space="preserve">allows for emergency services, whenever UE </w:t>
      </w:r>
      <w:r w:rsidR="00923442">
        <w:t xml:space="preserve">can find </w:t>
      </w:r>
      <w:r w:rsidR="000352EB">
        <w:t>such a</w:t>
      </w:r>
      <w:r w:rsidR="00923442">
        <w:t>n acceptable cell, irrespective of if it is a PLMN or an SNPN cell.</w:t>
      </w:r>
    </w:p>
    <w:p w14:paraId="79DE39DB" w14:textId="4532926C" w:rsidR="00E87973" w:rsidRDefault="00DA7315" w:rsidP="000177C8">
      <w:r>
        <w:t>In release 17</w:t>
      </w:r>
      <w:r w:rsidR="00DE6D30">
        <w:t xml:space="preserve"> support of emergency services for SNPN is being addressed.</w:t>
      </w:r>
      <w:r w:rsidR="00A72D90">
        <w:t xml:space="preserve"> See,</w:t>
      </w:r>
      <w:r w:rsidR="00895100">
        <w:t xml:space="preserve"> key issue 3 in T</w:t>
      </w:r>
      <w:r w:rsidR="001B2231">
        <w:rPr>
          <w:rFonts w:ascii="Arial" w:hAnsi="Arial" w:cs="Arial"/>
          <w:color w:val="444444"/>
          <w:sz w:val="18"/>
          <w:szCs w:val="18"/>
        </w:rPr>
        <w:t xml:space="preserve">R </w:t>
      </w:r>
      <w:hyperlink r:id="rId11" w:tgtFrame="_blank" w:history="1">
        <w:r w:rsidR="001B2231">
          <w:rPr>
            <w:rStyle w:val="Hyperlink"/>
            <w:rFonts w:ascii="Arial" w:hAnsi="Arial" w:cs="Arial"/>
            <w:sz w:val="18"/>
            <w:szCs w:val="18"/>
          </w:rPr>
          <w:t>23.700-07</w:t>
        </w:r>
      </w:hyperlink>
      <w:r w:rsidR="001B2231">
        <w:t>.</w:t>
      </w:r>
      <w:r>
        <w:t xml:space="preserve"> </w:t>
      </w:r>
      <w:r w:rsidR="00127518">
        <w:t>With such support, i</w:t>
      </w:r>
      <w:r>
        <w:t xml:space="preserve">t is not unlikely that, in SNPN access mode, a UE would be allowed to camp </w:t>
      </w:r>
      <w:r w:rsidR="004A664D">
        <w:t xml:space="preserve">on an acceptable cell </w:t>
      </w:r>
      <w:r>
        <w:t xml:space="preserve">in an SNPN that offers </w:t>
      </w:r>
      <w:r w:rsidR="00C013FD">
        <w:t>emergency services, even though it is not possible</w:t>
      </w:r>
      <w:r w:rsidR="00FC17DB">
        <w:t xml:space="preserve"> for that UE</w:t>
      </w:r>
      <w:r w:rsidR="00C013FD">
        <w:t xml:space="preserve"> to </w:t>
      </w:r>
      <w:r w:rsidR="000F1115">
        <w:t xml:space="preserve">access that SNPN for normal service. </w:t>
      </w:r>
      <w:r w:rsidR="002544D7">
        <w:t xml:space="preserve">This is how it works in PLMN and it seems </w:t>
      </w:r>
      <w:r w:rsidR="007C668C">
        <w:t>reasonable also for SNPN.</w:t>
      </w:r>
      <w:r w:rsidR="003F4358">
        <w:t xml:space="preserve"> In this situation and for emergency services, we don’t see any </w:t>
      </w:r>
      <w:r w:rsidR="00A0273B">
        <w:t>need</w:t>
      </w:r>
      <w:r w:rsidR="003F4358">
        <w:t xml:space="preserve"> for restricting camping </w:t>
      </w:r>
      <w:r w:rsidR="00BE3A0D">
        <w:t>to SNPN cells only</w:t>
      </w:r>
      <w:r w:rsidR="003F4358">
        <w:t xml:space="preserve">. </w:t>
      </w:r>
      <w:r w:rsidR="001B78C9">
        <w:t>We rather expect that in Release 17, UE’s should be allowed to also go to PLMNs for limited service</w:t>
      </w:r>
      <w:r w:rsidR="00D3142A">
        <w:t xml:space="preserve">. </w:t>
      </w:r>
      <w:r w:rsidR="00077EC1">
        <w:t>However, this latter should be straightforward to support already in release 16.</w:t>
      </w:r>
    </w:p>
    <w:p w14:paraId="454B213C" w14:textId="16467C07" w:rsidR="00B13709" w:rsidRPr="00B178EE" w:rsidRDefault="004F594F">
      <w:pPr>
        <w:pStyle w:val="Observation"/>
        <w:rPr>
          <w:rFonts w:cs="Arial"/>
        </w:rPr>
      </w:pPr>
      <w:bookmarkStart w:id="3" w:name="_Toc47636446"/>
      <w:r>
        <w:rPr>
          <w:rFonts w:cs="Arial"/>
        </w:rPr>
        <w:t xml:space="preserve">Going forward, when emergency services are supported for SNPN, it </w:t>
      </w:r>
      <w:r w:rsidR="007401B2">
        <w:rPr>
          <w:rFonts w:cs="Arial"/>
        </w:rPr>
        <w:t>will likely</w:t>
      </w:r>
      <w:r w:rsidR="00FD1955">
        <w:rPr>
          <w:rFonts w:cs="Arial"/>
        </w:rPr>
        <w:t xml:space="preserve"> allow a UE in SNPN access mode that is within coverage of an SNPN that it cannot access for normal service, to camp on </w:t>
      </w:r>
      <w:r w:rsidR="00682B03">
        <w:rPr>
          <w:rFonts w:cs="Arial"/>
        </w:rPr>
        <w:t>an acceptable cell in an</w:t>
      </w:r>
      <w:r w:rsidR="00C91388">
        <w:rPr>
          <w:rFonts w:cs="Arial"/>
        </w:rPr>
        <w:t>y SNPN, to get</w:t>
      </w:r>
      <w:r w:rsidR="00FD1955">
        <w:rPr>
          <w:rFonts w:cs="Arial"/>
        </w:rPr>
        <w:t xml:space="preserve"> </w:t>
      </w:r>
      <w:r w:rsidR="002F05E5">
        <w:rPr>
          <w:rFonts w:cs="Arial"/>
        </w:rPr>
        <w:t>limited</w:t>
      </w:r>
      <w:r w:rsidR="00FC14F7">
        <w:rPr>
          <w:rFonts w:cs="Arial"/>
        </w:rPr>
        <w:t xml:space="preserve"> </w:t>
      </w:r>
      <w:r w:rsidR="002F05E5">
        <w:rPr>
          <w:rFonts w:cs="Arial"/>
        </w:rPr>
        <w:t>services.</w:t>
      </w:r>
      <w:r w:rsidR="00FC0265">
        <w:rPr>
          <w:rFonts w:cs="Arial"/>
        </w:rPr>
        <w:t xml:space="preserve"> </w:t>
      </w:r>
      <w:r w:rsidR="00B178EE">
        <w:rPr>
          <w:rFonts w:cs="Arial"/>
        </w:rPr>
        <w:t>Further, it</w:t>
      </w:r>
      <w:r w:rsidR="00FC0265">
        <w:rPr>
          <w:rFonts w:cs="Arial"/>
        </w:rPr>
        <w:t xml:space="preserve"> seems unnecessary to </w:t>
      </w:r>
      <w:r w:rsidR="00FC0265" w:rsidRPr="00B178EE">
        <w:rPr>
          <w:rFonts w:cs="Arial"/>
        </w:rPr>
        <w:t xml:space="preserve">restrict </w:t>
      </w:r>
      <w:r w:rsidR="000D4C10" w:rsidRPr="00B178EE">
        <w:rPr>
          <w:rFonts w:cs="Arial"/>
        </w:rPr>
        <w:t xml:space="preserve">the UE </w:t>
      </w:r>
      <w:r w:rsidR="00EF4545">
        <w:rPr>
          <w:rFonts w:cs="Arial"/>
        </w:rPr>
        <w:t>be camping only on SNPN cells, but it should also be allowed to find</w:t>
      </w:r>
      <w:r w:rsidR="000A68DD">
        <w:rPr>
          <w:rFonts w:cs="Arial"/>
        </w:rPr>
        <w:t xml:space="preserve"> and select</w:t>
      </w:r>
      <w:r w:rsidR="00EF4545">
        <w:rPr>
          <w:rFonts w:cs="Arial"/>
        </w:rPr>
        <w:t xml:space="preserve"> acceptable cells on PLMNs</w:t>
      </w:r>
      <w:bookmarkEnd w:id="3"/>
    </w:p>
    <w:p w14:paraId="11018439" w14:textId="7FDBD831" w:rsidR="00EA4E07" w:rsidRDefault="00D05D52" w:rsidP="00B13709">
      <w:r>
        <w:t xml:space="preserve">With this reasoning </w:t>
      </w:r>
      <w:r w:rsidR="00266743">
        <w:t xml:space="preserve">we don’t see why we in Release 16 need to forbid UE’s </w:t>
      </w:r>
      <w:r w:rsidR="00D02DBC">
        <w:t xml:space="preserve">in SNPN access mode to </w:t>
      </w:r>
      <w:r w:rsidR="000D0A4F">
        <w:t xml:space="preserve">select a PLMN </w:t>
      </w:r>
      <w:r w:rsidR="002D5F53">
        <w:t xml:space="preserve">(acceptable) </w:t>
      </w:r>
      <w:r w:rsidR="000D0A4F">
        <w:t>cell and enter the camped on any cell state</w:t>
      </w:r>
      <w:r w:rsidR="0010594B">
        <w:t xml:space="preserve">, </w:t>
      </w:r>
      <w:r w:rsidR="007F3062">
        <w:t xml:space="preserve">to </w:t>
      </w:r>
      <w:r w:rsidR="006F3B11">
        <w:t xml:space="preserve">have the possibility of </w:t>
      </w:r>
      <w:r w:rsidR="00A27375">
        <w:t>emergency services</w:t>
      </w:r>
      <w:r w:rsidR="006F3B11">
        <w:t xml:space="preserve"> when outside the allowable SNPN area.</w:t>
      </w:r>
      <w:r w:rsidR="006317FD">
        <w:t xml:space="preserve"> </w:t>
      </w:r>
      <w:r w:rsidR="00EA4E07">
        <w:t>The table below summarize</w:t>
      </w:r>
      <w:r w:rsidR="00085C91">
        <w:t>, for a UE in SNPN Access Mode:</w:t>
      </w:r>
    </w:p>
    <w:p w14:paraId="7AACBAA0" w14:textId="77777777" w:rsidR="000D05F5" w:rsidRDefault="000D05F5" w:rsidP="00B13709"/>
    <w:p w14:paraId="4C41D541" w14:textId="77777777" w:rsidR="002433D2" w:rsidRDefault="002433D2" w:rsidP="00B13709"/>
    <w:tbl>
      <w:tblPr>
        <w:tblStyle w:val="TableGrid"/>
        <w:tblW w:w="0" w:type="auto"/>
        <w:tblLook w:val="04A0" w:firstRow="1" w:lastRow="0" w:firstColumn="1" w:lastColumn="0" w:noHBand="0" w:noVBand="1"/>
      </w:tblPr>
      <w:tblGrid>
        <w:gridCol w:w="2407"/>
        <w:gridCol w:w="2407"/>
        <w:gridCol w:w="2407"/>
        <w:gridCol w:w="2408"/>
      </w:tblGrid>
      <w:tr w:rsidR="00EA4E07" w14:paraId="670844AE" w14:textId="77777777" w:rsidTr="00EA4E07">
        <w:tc>
          <w:tcPr>
            <w:tcW w:w="2407" w:type="dxa"/>
          </w:tcPr>
          <w:p w14:paraId="2B2EA96E" w14:textId="73D88A39" w:rsidR="00EA4E07" w:rsidRPr="00795C82" w:rsidRDefault="00EA4E07" w:rsidP="00B13709">
            <w:pPr>
              <w:rPr>
                <w:b/>
                <w:bCs/>
              </w:rPr>
            </w:pPr>
            <w:r w:rsidRPr="00795C82">
              <w:rPr>
                <w:b/>
                <w:bCs/>
              </w:rPr>
              <w:t>Location</w:t>
            </w:r>
          </w:p>
        </w:tc>
        <w:tc>
          <w:tcPr>
            <w:tcW w:w="2407" w:type="dxa"/>
          </w:tcPr>
          <w:p w14:paraId="3826A73F" w14:textId="0B1064AC" w:rsidR="00EA4E07" w:rsidRPr="00795C82" w:rsidRDefault="00D13F55" w:rsidP="00B13709">
            <w:pPr>
              <w:rPr>
                <w:b/>
                <w:bCs/>
              </w:rPr>
            </w:pPr>
            <w:r w:rsidRPr="00795C82">
              <w:rPr>
                <w:b/>
                <w:bCs/>
              </w:rPr>
              <w:t>Current situation</w:t>
            </w:r>
            <w:r w:rsidR="00085C91">
              <w:rPr>
                <w:b/>
                <w:bCs/>
              </w:rPr>
              <w:t xml:space="preserve"> R16</w:t>
            </w:r>
          </w:p>
        </w:tc>
        <w:tc>
          <w:tcPr>
            <w:tcW w:w="2407" w:type="dxa"/>
          </w:tcPr>
          <w:p w14:paraId="3DEADDE6" w14:textId="4D395D1C" w:rsidR="00EA4E07" w:rsidRPr="00795C82" w:rsidRDefault="00D13F55" w:rsidP="00B13709">
            <w:pPr>
              <w:rPr>
                <w:b/>
                <w:bCs/>
              </w:rPr>
            </w:pPr>
            <w:r w:rsidRPr="00795C82">
              <w:rPr>
                <w:b/>
                <w:bCs/>
              </w:rPr>
              <w:t>Desired situation</w:t>
            </w:r>
            <w:r w:rsidR="00085C91">
              <w:rPr>
                <w:b/>
                <w:bCs/>
              </w:rPr>
              <w:t xml:space="preserve"> R16</w:t>
            </w:r>
          </w:p>
        </w:tc>
        <w:tc>
          <w:tcPr>
            <w:tcW w:w="2408" w:type="dxa"/>
          </w:tcPr>
          <w:p w14:paraId="764F9B5D" w14:textId="26291F21" w:rsidR="00EA4E07" w:rsidRPr="00795C82" w:rsidRDefault="002A171D" w:rsidP="00B13709">
            <w:pPr>
              <w:rPr>
                <w:b/>
                <w:bCs/>
              </w:rPr>
            </w:pPr>
            <w:r>
              <w:rPr>
                <w:b/>
                <w:bCs/>
              </w:rPr>
              <w:t>E</w:t>
            </w:r>
            <w:r w:rsidR="00085C91">
              <w:rPr>
                <w:b/>
                <w:bCs/>
              </w:rPr>
              <w:t xml:space="preserve">xpected </w:t>
            </w:r>
            <w:r w:rsidR="00D13F55" w:rsidRPr="00795C82">
              <w:rPr>
                <w:b/>
                <w:bCs/>
              </w:rPr>
              <w:t>situation</w:t>
            </w:r>
            <w:r>
              <w:rPr>
                <w:b/>
                <w:bCs/>
              </w:rPr>
              <w:t xml:space="preserve"> R17</w:t>
            </w:r>
          </w:p>
        </w:tc>
      </w:tr>
      <w:tr w:rsidR="00EA4E07" w14:paraId="6035A56E" w14:textId="77777777" w:rsidTr="00EA4E07">
        <w:tc>
          <w:tcPr>
            <w:tcW w:w="2407" w:type="dxa"/>
          </w:tcPr>
          <w:p w14:paraId="433FB7D4" w14:textId="11BD3AA7" w:rsidR="00EA4E07" w:rsidRPr="00795C82" w:rsidRDefault="00EA4E07" w:rsidP="00EA4E07">
            <w:pPr>
              <w:rPr>
                <w:b/>
                <w:bCs/>
              </w:rPr>
            </w:pPr>
            <w:r w:rsidRPr="00795C82">
              <w:rPr>
                <w:b/>
                <w:bCs/>
              </w:rPr>
              <w:t>UE in allowable SNPN coverage</w:t>
            </w:r>
          </w:p>
        </w:tc>
        <w:tc>
          <w:tcPr>
            <w:tcW w:w="2407" w:type="dxa"/>
          </w:tcPr>
          <w:p w14:paraId="7E7C1A13" w14:textId="5CD4DAFA" w:rsidR="00EA4E07" w:rsidRDefault="00EA4E07" w:rsidP="00EA4E07">
            <w:r>
              <w:t>Normal Service</w:t>
            </w:r>
          </w:p>
        </w:tc>
        <w:tc>
          <w:tcPr>
            <w:tcW w:w="2407" w:type="dxa"/>
          </w:tcPr>
          <w:p w14:paraId="7A0157D7" w14:textId="7AE3BA37" w:rsidR="00EA4E07" w:rsidRDefault="00D13F55" w:rsidP="00EA4E07">
            <w:r>
              <w:t>Normal Service</w:t>
            </w:r>
          </w:p>
        </w:tc>
        <w:tc>
          <w:tcPr>
            <w:tcW w:w="2408" w:type="dxa"/>
          </w:tcPr>
          <w:p w14:paraId="2093C692" w14:textId="0B5674D0" w:rsidR="00EA4E07" w:rsidRDefault="00AE2E59" w:rsidP="00EA4E07">
            <w:r>
              <w:t>Normal Service</w:t>
            </w:r>
          </w:p>
        </w:tc>
      </w:tr>
      <w:tr w:rsidR="00EA4E07" w14:paraId="3E9C839C" w14:textId="77777777" w:rsidTr="00EA4E07">
        <w:tc>
          <w:tcPr>
            <w:tcW w:w="2407" w:type="dxa"/>
          </w:tcPr>
          <w:p w14:paraId="0518575D" w14:textId="6C52EC94" w:rsidR="00EA4E07" w:rsidRPr="00795C82" w:rsidRDefault="00EA4E07" w:rsidP="00EA4E07">
            <w:pPr>
              <w:rPr>
                <w:b/>
                <w:bCs/>
              </w:rPr>
            </w:pPr>
            <w:r w:rsidRPr="00795C82">
              <w:rPr>
                <w:b/>
                <w:bCs/>
              </w:rPr>
              <w:t>UE outside allowable SNPN coverage</w:t>
            </w:r>
          </w:p>
        </w:tc>
        <w:tc>
          <w:tcPr>
            <w:tcW w:w="2407" w:type="dxa"/>
          </w:tcPr>
          <w:p w14:paraId="11DC3B91" w14:textId="11B21FDE" w:rsidR="00EA4E07" w:rsidRDefault="00D13F55" w:rsidP="00EA4E07">
            <w:r>
              <w:t>No Service</w:t>
            </w:r>
          </w:p>
        </w:tc>
        <w:tc>
          <w:tcPr>
            <w:tcW w:w="2407" w:type="dxa"/>
          </w:tcPr>
          <w:p w14:paraId="48E5E6AB" w14:textId="0D1190F7" w:rsidR="00EA4E07" w:rsidRDefault="00D13F55" w:rsidP="00EA4E07">
            <w:r>
              <w:t xml:space="preserve">Limited service </w:t>
            </w:r>
            <w:r w:rsidR="00383FE0">
              <w:t>(when</w:t>
            </w:r>
            <w:r>
              <w:t xml:space="preserve"> available</w:t>
            </w:r>
            <w:r w:rsidR="00383FE0">
              <w:t>)</w:t>
            </w:r>
            <w:r w:rsidR="009B1F70">
              <w:t xml:space="preserve"> </w:t>
            </w:r>
            <w:r w:rsidR="00AE2E59">
              <w:t>through</w:t>
            </w:r>
            <w:r w:rsidR="009B1F70">
              <w:t xml:space="preserve"> PLMN</w:t>
            </w:r>
          </w:p>
        </w:tc>
        <w:tc>
          <w:tcPr>
            <w:tcW w:w="2408" w:type="dxa"/>
          </w:tcPr>
          <w:p w14:paraId="36CF026B" w14:textId="753E0489" w:rsidR="00EA4E07" w:rsidRDefault="009B1F70" w:rsidP="00EA4E07">
            <w:r>
              <w:t xml:space="preserve">Limited service </w:t>
            </w:r>
            <w:r w:rsidR="00383FE0">
              <w:t>(when</w:t>
            </w:r>
            <w:r w:rsidR="00AE2E59">
              <w:t xml:space="preserve"> available</w:t>
            </w:r>
            <w:r w:rsidR="00383FE0">
              <w:t>)</w:t>
            </w:r>
            <w:r w:rsidR="00AE2E59">
              <w:t xml:space="preserve"> through SNPN or PLMN</w:t>
            </w:r>
          </w:p>
        </w:tc>
      </w:tr>
    </w:tbl>
    <w:p w14:paraId="13283C67" w14:textId="17C3393D" w:rsidR="00EA4E07" w:rsidRDefault="00EA4E07" w:rsidP="00B13709"/>
    <w:p w14:paraId="35037B06" w14:textId="2EEBAA69" w:rsidR="00F05724" w:rsidRDefault="00F05724" w:rsidP="00B13709">
      <w:r>
        <w:t xml:space="preserve">A benefit with supporting </w:t>
      </w:r>
      <w:r w:rsidR="00E95ADC">
        <w:t xml:space="preserve">that </w:t>
      </w:r>
      <w:r w:rsidR="00F734A7">
        <w:t xml:space="preserve">a </w:t>
      </w:r>
      <w:r w:rsidR="00E95ADC">
        <w:t xml:space="preserve">UE </w:t>
      </w:r>
      <w:r w:rsidR="00F734A7">
        <w:t xml:space="preserve">is </w:t>
      </w:r>
      <w:r w:rsidR="00E95ADC">
        <w:t>allowed to</w:t>
      </w:r>
      <w:r w:rsidR="00CA7585">
        <w:t xml:space="preserve"> select and</w:t>
      </w:r>
      <w:r w:rsidR="00E95ADC">
        <w:t xml:space="preserve"> camp on acceptable cells in PLMNs, also </w:t>
      </w:r>
      <w:r w:rsidR="00F734A7">
        <w:t xml:space="preserve">when the UE is </w:t>
      </w:r>
      <w:r w:rsidR="00E95ADC">
        <w:t xml:space="preserve">in </w:t>
      </w:r>
      <w:r>
        <w:t xml:space="preserve">SNPN access mode would be </w:t>
      </w:r>
      <w:r w:rsidR="00854E51">
        <w:t xml:space="preserve">that </w:t>
      </w:r>
      <w:r w:rsidR="00F734A7">
        <w:t xml:space="preserve">the </w:t>
      </w:r>
      <w:r w:rsidR="00854E51">
        <w:t xml:space="preserve">UE can remain in SNPN access mode and, as soon as it goes back into SNPN coverage, also get back to (possibly preferred) SNPN cell/s. If a solution is rather based on that UE implementation switches access mode, then it </w:t>
      </w:r>
      <w:r w:rsidR="00E06E1C">
        <w:t>may</w:t>
      </w:r>
      <w:r w:rsidR="00854E51">
        <w:t xml:space="preserve"> also be implementation specific how/when UE would get back to a preferred SNPN, when returning into coverage. (If a UE, by implementation, has switched away from SNPN access mode, it would </w:t>
      </w:r>
      <w:r w:rsidR="00E20268">
        <w:t>not select an SNPN</w:t>
      </w:r>
      <w:r w:rsidR="00854E51">
        <w:t>)</w:t>
      </w:r>
    </w:p>
    <w:p w14:paraId="3897A111" w14:textId="63D617DA" w:rsidR="00756A86" w:rsidRDefault="00756A86" w:rsidP="00756A86">
      <w:r>
        <w:t xml:space="preserve">So, </w:t>
      </w:r>
      <w:r w:rsidR="00E03378">
        <w:t xml:space="preserve">to maximise service availability </w:t>
      </w:r>
      <w:r w:rsidR="004538D0">
        <w:t>and avoid access mode switches</w:t>
      </w:r>
      <w:r w:rsidR="00A51667">
        <w:t xml:space="preserve"> </w:t>
      </w:r>
      <w:r w:rsidR="0073512E">
        <w:t>outside areas where normal service is possible</w:t>
      </w:r>
      <w:r>
        <w:t xml:space="preserve">, we propose </w:t>
      </w:r>
      <w:r w:rsidR="00085006">
        <w:t xml:space="preserve">that RAN2 raise this with SA1 and SA2 </w:t>
      </w:r>
      <w:r w:rsidR="00F734A7">
        <w:t>(Cc: CT1)</w:t>
      </w:r>
      <w:r w:rsidR="00085006">
        <w:t xml:space="preserve">and ask if it is not better that a UE (even though it is in SNPN access mode) </w:t>
      </w:r>
      <w:r w:rsidR="00154762">
        <w:t xml:space="preserve">end up in </w:t>
      </w:r>
      <w:r w:rsidR="00DA1460">
        <w:t xml:space="preserve">an acceptable </w:t>
      </w:r>
      <w:r w:rsidR="00154762">
        <w:t>PLMN cell</w:t>
      </w:r>
      <w:r w:rsidR="004F530A">
        <w:t xml:space="preserve"> </w:t>
      </w:r>
      <w:r w:rsidR="00CD57D5">
        <w:t>(where limited services can be</w:t>
      </w:r>
      <w:r w:rsidR="00084044">
        <w:t xml:space="preserve"> provided) </w:t>
      </w:r>
      <w:r w:rsidR="004F530A">
        <w:t>rather than getting no service at all</w:t>
      </w:r>
      <w:r w:rsidR="008F73AE">
        <w:t>.</w:t>
      </w:r>
    </w:p>
    <w:p w14:paraId="2C0ADFCB" w14:textId="078ACA54" w:rsidR="00756A86" w:rsidRDefault="00871632" w:rsidP="00756A86">
      <w:r>
        <w:t xml:space="preserve">Thus, we </w:t>
      </w:r>
      <w:r w:rsidR="00277B97">
        <w:t>think it would be beneficial if</w:t>
      </w:r>
      <w:r w:rsidR="008F42C9">
        <w:t xml:space="preserve">, </w:t>
      </w:r>
      <w:r>
        <w:t>w</w:t>
      </w:r>
      <w:r w:rsidR="00756A86">
        <w:t>hen no normal service is available in SNPN access mode, UE is allowed to select a</w:t>
      </w:r>
      <w:r w:rsidR="0021133B">
        <w:t>n acceptable</w:t>
      </w:r>
      <w:r w:rsidR="00756A86">
        <w:t xml:space="preserve"> PLMN </w:t>
      </w:r>
      <w:r w:rsidR="00E50082">
        <w:t xml:space="preserve">cell </w:t>
      </w:r>
      <w:r w:rsidR="00756A86">
        <w:t xml:space="preserve">and </w:t>
      </w:r>
      <w:r w:rsidR="0093158E">
        <w:t xml:space="preserve">enter </w:t>
      </w:r>
      <w:r w:rsidR="00756A86">
        <w:t>camp</w:t>
      </w:r>
      <w:r w:rsidR="0093158E">
        <w:t>ed</w:t>
      </w:r>
      <w:r w:rsidR="00756A86">
        <w:t xml:space="preserve"> </w:t>
      </w:r>
      <w:r w:rsidR="0093158E">
        <w:t>on</w:t>
      </w:r>
      <w:r w:rsidR="00756A86">
        <w:t xml:space="preserve"> any cell state </w:t>
      </w:r>
      <w:r w:rsidR="0093158E">
        <w:t>(</w:t>
      </w:r>
      <w:r w:rsidR="00756A86">
        <w:t>and</w:t>
      </w:r>
      <w:r w:rsidR="00A827CF">
        <w:t xml:space="preserve"> </w:t>
      </w:r>
      <w:r w:rsidR="00756A86">
        <w:t>regularly try to find a suitable SNPN cell and return to normal camping.</w:t>
      </w:r>
      <w:r w:rsidR="0093158E">
        <w:t>)</w:t>
      </w:r>
    </w:p>
    <w:p w14:paraId="723951F5" w14:textId="29BA0238" w:rsidR="00756A86" w:rsidRDefault="00E830CB" w:rsidP="00756A86">
      <w:r>
        <w:t xml:space="preserve">An aspect of standardizing a solution for this is that </w:t>
      </w:r>
      <w:r w:rsidR="009478F9">
        <w:t xml:space="preserve">UE </w:t>
      </w:r>
      <w:proofErr w:type="spellStart"/>
      <w:r w:rsidR="009478F9">
        <w:t>behavior</w:t>
      </w:r>
      <w:proofErr w:type="spellEnd"/>
      <w:r w:rsidR="009478F9">
        <w:t xml:space="preserve"> </w:t>
      </w:r>
      <w:r w:rsidR="00AE37F7">
        <w:t xml:space="preserve">is aligned </w:t>
      </w:r>
      <w:r w:rsidR="009478F9">
        <w:t>when moving out of coverage of normal service/camping</w:t>
      </w:r>
      <w:r w:rsidR="00AE37F7">
        <w:t xml:space="preserve"> to a similar level as for current </w:t>
      </w:r>
      <w:r w:rsidR="001E23BC">
        <w:t xml:space="preserve">UEs. </w:t>
      </w:r>
      <w:r w:rsidR="00217630">
        <w:t xml:space="preserve">There is </w:t>
      </w:r>
      <w:r w:rsidR="001E23BC">
        <w:t>currently</w:t>
      </w:r>
      <w:r w:rsidR="00217630">
        <w:t xml:space="preserve"> a standardized UE </w:t>
      </w:r>
      <w:proofErr w:type="spellStart"/>
      <w:r w:rsidR="00217630">
        <w:t>behavior</w:t>
      </w:r>
      <w:proofErr w:type="spellEnd"/>
      <w:r w:rsidR="00217630">
        <w:t xml:space="preserve"> for UEs that are not in SNPN access mode, it is expected </w:t>
      </w:r>
      <w:r w:rsidR="003E3A63">
        <w:t xml:space="preserve">that there is a standardized UE </w:t>
      </w:r>
      <w:proofErr w:type="spellStart"/>
      <w:r w:rsidR="003E3A63">
        <w:t>behavior</w:t>
      </w:r>
      <w:proofErr w:type="spellEnd"/>
      <w:r w:rsidR="003E3A63">
        <w:t xml:space="preserve"> </w:t>
      </w:r>
      <w:r w:rsidR="00217630">
        <w:t xml:space="preserve">also in Release 17, </w:t>
      </w:r>
      <w:r w:rsidR="00D73F62">
        <w:t>when emergency services will be supported; -</w:t>
      </w:r>
      <w:r w:rsidR="00217630">
        <w:t xml:space="preserve">we think it is, with minor changes, possible to </w:t>
      </w:r>
      <w:r w:rsidR="00FC5B18">
        <w:t xml:space="preserve">have a standardized UE </w:t>
      </w:r>
      <w:proofErr w:type="spellStart"/>
      <w:r w:rsidR="00FC5B18">
        <w:t>behavior</w:t>
      </w:r>
      <w:proofErr w:type="spellEnd"/>
      <w:r w:rsidR="00FC5B18">
        <w:t xml:space="preserve"> also</w:t>
      </w:r>
      <w:r w:rsidR="00217630">
        <w:t xml:space="preserve"> in release 16 for </w:t>
      </w:r>
      <w:r w:rsidR="00FC5B18">
        <w:t xml:space="preserve">UE’s in </w:t>
      </w:r>
      <w:r w:rsidR="00217630">
        <w:t>SNPN access mode.</w:t>
      </w:r>
    </w:p>
    <w:p w14:paraId="4B63FEE7" w14:textId="257000A6" w:rsidR="009F332F" w:rsidRDefault="00210DBA" w:rsidP="009F332F">
      <w:r>
        <w:t xml:space="preserve">With the above observations in mind, we want to propose </w:t>
      </w:r>
      <w:proofErr w:type="gramStart"/>
      <w:r>
        <w:t>an</w:t>
      </w:r>
      <w:proofErr w:type="gramEnd"/>
      <w:r>
        <w:t xml:space="preserve"> LS raising this</w:t>
      </w:r>
      <w:r w:rsidR="00FB52A2">
        <w:t xml:space="preserve">. </w:t>
      </w:r>
    </w:p>
    <w:p w14:paraId="3BF3BACC" w14:textId="5742E3FF" w:rsidR="00D24393" w:rsidRPr="00210DBA" w:rsidRDefault="00210DBA" w:rsidP="00210DBA">
      <w:pPr>
        <w:pStyle w:val="Proposal"/>
        <w:ind w:left="2268" w:hanging="2268"/>
        <w:rPr>
          <w:rFonts w:cs="Arial"/>
        </w:rPr>
      </w:pPr>
      <w:bookmarkStart w:id="4" w:name="_Toc47636449"/>
      <w:r>
        <w:rPr>
          <w:rFonts w:cs="Arial"/>
        </w:rPr>
        <w:t>Send an LS to SA1</w:t>
      </w:r>
      <w:r w:rsidR="00A40D0C">
        <w:rPr>
          <w:rFonts w:cs="Arial"/>
        </w:rPr>
        <w:t xml:space="preserve"> (requirements)</w:t>
      </w:r>
      <w:r>
        <w:rPr>
          <w:rFonts w:cs="Arial"/>
        </w:rPr>
        <w:t xml:space="preserve"> and SA2 </w:t>
      </w:r>
      <w:r w:rsidR="00247643">
        <w:rPr>
          <w:rFonts w:cs="Arial"/>
        </w:rPr>
        <w:t>(</w:t>
      </w:r>
      <w:r w:rsidR="00B250F8">
        <w:rPr>
          <w:rFonts w:cs="Arial"/>
        </w:rPr>
        <w:t xml:space="preserve">with CT1 in </w:t>
      </w:r>
      <w:r w:rsidR="00247643">
        <w:rPr>
          <w:rFonts w:cs="Arial"/>
        </w:rPr>
        <w:t xml:space="preserve">Cc) </w:t>
      </w:r>
      <w:r>
        <w:rPr>
          <w:rFonts w:cs="Arial"/>
        </w:rPr>
        <w:t xml:space="preserve">and propose that </w:t>
      </w:r>
      <w:r w:rsidR="00B250F8">
        <w:rPr>
          <w:rFonts w:cs="Arial"/>
        </w:rPr>
        <w:t xml:space="preserve">the </w:t>
      </w:r>
      <w:r>
        <w:rPr>
          <w:rFonts w:cs="Arial"/>
        </w:rPr>
        <w:t>standard should support that</w:t>
      </w:r>
      <w:r w:rsidR="00B8797D">
        <w:rPr>
          <w:rFonts w:cs="Arial"/>
        </w:rPr>
        <w:t xml:space="preserve"> if UE in SNPN access mode cannot get normal service, it should be allowed to</w:t>
      </w:r>
      <w:r w:rsidR="00A852C9">
        <w:rPr>
          <w:rFonts w:cs="Arial"/>
        </w:rPr>
        <w:t xml:space="preserve"> select and camp on a</w:t>
      </w:r>
      <w:r w:rsidR="00761C18">
        <w:rPr>
          <w:rFonts w:cs="Arial"/>
        </w:rPr>
        <w:t>n acceptable</w:t>
      </w:r>
      <w:r w:rsidR="00A852C9">
        <w:rPr>
          <w:rFonts w:cs="Arial"/>
        </w:rPr>
        <w:t xml:space="preserve"> PLMN cell, enter </w:t>
      </w:r>
      <w:r w:rsidR="00B8797D">
        <w:rPr>
          <w:rFonts w:cs="Arial"/>
        </w:rPr>
        <w:t>camp</w:t>
      </w:r>
      <w:r w:rsidR="00A852C9">
        <w:rPr>
          <w:rFonts w:cs="Arial"/>
        </w:rPr>
        <w:t>ed on</w:t>
      </w:r>
      <w:r w:rsidR="00B8797D">
        <w:rPr>
          <w:rFonts w:cs="Arial"/>
        </w:rPr>
        <w:t xml:space="preserve"> any cell state,</w:t>
      </w:r>
      <w:r w:rsidR="00810BEB">
        <w:rPr>
          <w:rFonts w:cs="Arial"/>
        </w:rPr>
        <w:t xml:space="preserve"> without having to switch away from SNPN access mode</w:t>
      </w:r>
      <w:r w:rsidR="002C61D8">
        <w:rPr>
          <w:rFonts w:cs="Arial"/>
        </w:rPr>
        <w:t xml:space="preserve">. This would also mean that UE regularly is trying to </w:t>
      </w:r>
      <w:r>
        <w:rPr>
          <w:rFonts w:cs="Arial"/>
        </w:rPr>
        <w:t>return to SNPN for normal service/camping.</w:t>
      </w:r>
      <w:bookmarkEnd w:id="4"/>
      <w:r>
        <w:rPr>
          <w:rFonts w:cs="Arial"/>
        </w:rPr>
        <w:t xml:space="preserve"> </w:t>
      </w:r>
    </w:p>
    <w:p w14:paraId="3F44162E" w14:textId="33FB8568" w:rsidR="00C01F33" w:rsidRPr="00034BC1" w:rsidRDefault="00A61EAD" w:rsidP="00A61EAD">
      <w:pPr>
        <w:pStyle w:val="Heading1"/>
        <w:rPr>
          <w:rFonts w:cs="Arial"/>
        </w:rPr>
      </w:pPr>
      <w:r w:rsidRPr="00034BC1">
        <w:rPr>
          <w:rFonts w:cs="Arial"/>
        </w:rPr>
        <w:t>3</w:t>
      </w:r>
      <w:r w:rsidRPr="00034BC1">
        <w:rPr>
          <w:rFonts w:cs="Arial"/>
        </w:rPr>
        <w:tab/>
      </w:r>
      <w:r w:rsidR="00C01F33" w:rsidRPr="00034BC1">
        <w:rPr>
          <w:rFonts w:cs="Arial"/>
        </w:rPr>
        <w:t>Conclusion</w:t>
      </w:r>
    </w:p>
    <w:p w14:paraId="3213AD1E" w14:textId="77777777" w:rsidR="008E065E" w:rsidRPr="00034BC1" w:rsidRDefault="008E065E" w:rsidP="008E065E">
      <w:pPr>
        <w:pStyle w:val="BodyText"/>
        <w:rPr>
          <w:rFonts w:cs="Arial"/>
          <w:b/>
          <w:bCs/>
        </w:rPr>
      </w:pPr>
      <w:r w:rsidRPr="00034BC1">
        <w:rPr>
          <w:rFonts w:cs="Arial"/>
        </w:rPr>
        <w:t xml:space="preserve">In </w:t>
      </w:r>
      <w:r w:rsidR="007729A2" w:rsidRPr="00034BC1">
        <w:rPr>
          <w:rFonts w:cs="Arial"/>
        </w:rPr>
        <w:t xml:space="preserve">the previous </w:t>
      </w:r>
      <w:r w:rsidRPr="00034BC1">
        <w:rPr>
          <w:rFonts w:cs="Arial"/>
        </w:rPr>
        <w:t>section</w:t>
      </w:r>
      <w:r w:rsidR="007729A2" w:rsidRPr="00034BC1">
        <w:rPr>
          <w:rFonts w:cs="Arial"/>
        </w:rPr>
        <w:t>s</w:t>
      </w:r>
      <w:r w:rsidRPr="00034BC1">
        <w:rPr>
          <w:rFonts w:cs="Arial"/>
        </w:rPr>
        <w:t xml:space="preserve"> we made the following observations:</w:t>
      </w:r>
      <w:r w:rsidR="00C93814" w:rsidRPr="00034BC1">
        <w:rPr>
          <w:rFonts w:cs="Arial"/>
          <w:b/>
          <w:bCs/>
        </w:rPr>
        <w:t xml:space="preserve"> </w:t>
      </w:r>
    </w:p>
    <w:p w14:paraId="414D09D3" w14:textId="77777777" w:rsidR="00B250F8"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sidRPr="00034BC1">
        <w:rPr>
          <w:rFonts w:cs="Arial"/>
          <w:b w:val="0"/>
          <w:bCs/>
        </w:rPr>
        <w:fldChar w:fldCharType="begin"/>
      </w:r>
      <w:r w:rsidRPr="00034BC1">
        <w:rPr>
          <w:rFonts w:cs="Arial"/>
          <w:b w:val="0"/>
          <w:bCs/>
        </w:rPr>
        <w:instrText xml:space="preserve"> TOC \f O \n \h \z \t "Observation" \c </w:instrText>
      </w:r>
      <w:r w:rsidRPr="00034BC1">
        <w:rPr>
          <w:rFonts w:cs="Arial"/>
          <w:b w:val="0"/>
          <w:bCs/>
        </w:rPr>
        <w:fldChar w:fldCharType="separate"/>
      </w:r>
      <w:hyperlink w:anchor="_Toc47636444" w:history="1">
        <w:r w:rsidR="00B250F8" w:rsidRPr="00951C82">
          <w:rPr>
            <w:rStyle w:val="Hyperlink"/>
            <w:rFonts w:cs="Arial"/>
            <w:noProof/>
          </w:rPr>
          <w:t>Observation 1</w:t>
        </w:r>
        <w:r w:rsidR="00B250F8">
          <w:rPr>
            <w:rFonts w:asciiTheme="minorHAnsi" w:eastAsiaTheme="minorEastAsia" w:hAnsiTheme="minorHAnsi" w:cstheme="minorBidi"/>
            <w:b w:val="0"/>
            <w:noProof/>
            <w:sz w:val="22"/>
            <w:szCs w:val="22"/>
            <w:lang w:eastAsia="en-GB"/>
          </w:rPr>
          <w:tab/>
        </w:r>
        <w:r w:rsidR="00B250F8" w:rsidRPr="00951C82">
          <w:rPr>
            <w:rStyle w:val="Hyperlink"/>
            <w:rFonts w:cs="Arial"/>
            <w:noProof/>
          </w:rPr>
          <w:t>If a UE cannot get normal service from a suitable SNPN cell, the specification leads to no service at all, irrespective of if there is coverage for limited service (emergency, PWS) from PLMNs</w:t>
        </w:r>
      </w:hyperlink>
    </w:p>
    <w:p w14:paraId="437ECD14" w14:textId="77777777" w:rsidR="00B250F8" w:rsidRDefault="00B250F8">
      <w:pPr>
        <w:pStyle w:val="TableofFigures"/>
        <w:tabs>
          <w:tab w:val="right" w:leader="dot" w:pos="9629"/>
        </w:tabs>
        <w:rPr>
          <w:rFonts w:asciiTheme="minorHAnsi" w:eastAsiaTheme="minorEastAsia" w:hAnsiTheme="minorHAnsi" w:cstheme="minorBidi"/>
          <w:b w:val="0"/>
          <w:noProof/>
          <w:sz w:val="22"/>
          <w:szCs w:val="22"/>
          <w:lang w:eastAsia="en-GB"/>
        </w:rPr>
      </w:pPr>
      <w:hyperlink w:anchor="_Toc47636445" w:history="1">
        <w:r w:rsidRPr="00951C82">
          <w:rPr>
            <w:rStyle w:val="Hyperlink"/>
            <w:rFonts w:cs="Arial"/>
            <w:noProof/>
          </w:rPr>
          <w:t>Observation 2</w:t>
        </w:r>
        <w:r>
          <w:rPr>
            <w:rFonts w:asciiTheme="minorHAnsi" w:eastAsiaTheme="minorEastAsia" w:hAnsiTheme="minorHAnsi" w:cstheme="minorBidi"/>
            <w:b w:val="0"/>
            <w:noProof/>
            <w:sz w:val="22"/>
            <w:szCs w:val="22"/>
            <w:lang w:eastAsia="en-GB"/>
          </w:rPr>
          <w:tab/>
        </w:r>
        <w:r w:rsidRPr="00951C82">
          <w:rPr>
            <w:rStyle w:val="Hyperlink"/>
            <w:rFonts w:cs="Arial"/>
            <w:noProof/>
          </w:rPr>
          <w:t>A reasonable UE implementation may switch from SNPN Access Mode when no service is available, at least to get to a limited service state in a PLMN. To then switch back to a (possibly a preferred) SNPN cell, yet another access mode change needs to take place.</w:t>
        </w:r>
      </w:hyperlink>
    </w:p>
    <w:p w14:paraId="728E418B" w14:textId="77777777" w:rsidR="00B250F8" w:rsidRDefault="00B250F8">
      <w:pPr>
        <w:pStyle w:val="TableofFigures"/>
        <w:tabs>
          <w:tab w:val="right" w:leader="dot" w:pos="9629"/>
        </w:tabs>
        <w:rPr>
          <w:rFonts w:asciiTheme="minorHAnsi" w:eastAsiaTheme="minorEastAsia" w:hAnsiTheme="minorHAnsi" w:cstheme="minorBidi"/>
          <w:b w:val="0"/>
          <w:noProof/>
          <w:sz w:val="22"/>
          <w:szCs w:val="22"/>
          <w:lang w:eastAsia="en-GB"/>
        </w:rPr>
      </w:pPr>
      <w:hyperlink w:anchor="_Toc47636446" w:history="1">
        <w:r w:rsidRPr="00951C82">
          <w:rPr>
            <w:rStyle w:val="Hyperlink"/>
            <w:rFonts w:cs="Arial"/>
            <w:noProof/>
          </w:rPr>
          <w:t>Observation 3</w:t>
        </w:r>
        <w:r>
          <w:rPr>
            <w:rFonts w:asciiTheme="minorHAnsi" w:eastAsiaTheme="minorEastAsia" w:hAnsiTheme="minorHAnsi" w:cstheme="minorBidi"/>
            <w:b w:val="0"/>
            <w:noProof/>
            <w:sz w:val="22"/>
            <w:szCs w:val="22"/>
            <w:lang w:eastAsia="en-GB"/>
          </w:rPr>
          <w:tab/>
        </w:r>
        <w:r w:rsidRPr="00951C82">
          <w:rPr>
            <w:rStyle w:val="Hyperlink"/>
            <w:rFonts w:cs="Arial"/>
            <w:noProof/>
          </w:rPr>
          <w:t>Going forward, when emergency services are supported for SNPN, it will likely allow a UE in SNPN access mode that is within coverage of an SNPN that it cannot access for normal service, to camp on an acceptable cell in any SNPN, to get limited services. Further, it seems unnecessary to restrict the UE be camping only on SNPN cells, but it should also be allowed to find and select acceptable cells on PLMNs</w:t>
        </w:r>
      </w:hyperlink>
    </w:p>
    <w:p w14:paraId="18AC8896" w14:textId="5675640F" w:rsidR="006E1C82" w:rsidRPr="00034BC1" w:rsidRDefault="006F6582" w:rsidP="008E065E">
      <w:pPr>
        <w:pStyle w:val="BodyText"/>
        <w:rPr>
          <w:rFonts w:cs="Arial"/>
          <w:b/>
          <w:bCs/>
        </w:rPr>
      </w:pPr>
      <w:r w:rsidRPr="00034BC1">
        <w:rPr>
          <w:rFonts w:cs="Arial"/>
          <w:b/>
          <w:bCs/>
        </w:rPr>
        <w:fldChar w:fldCharType="end"/>
      </w:r>
    </w:p>
    <w:p w14:paraId="2E00AAF3" w14:textId="77777777" w:rsidR="006E1C82" w:rsidRPr="00034BC1" w:rsidRDefault="008E065E" w:rsidP="006E1C82">
      <w:pPr>
        <w:pStyle w:val="BodyText"/>
        <w:rPr>
          <w:rFonts w:cs="Arial"/>
        </w:rPr>
      </w:pPr>
      <w:r w:rsidRPr="00034BC1">
        <w:rPr>
          <w:rFonts w:cs="Arial"/>
        </w:rPr>
        <w:t xml:space="preserve">Based on the discussion in </w:t>
      </w:r>
      <w:r w:rsidR="007729A2" w:rsidRPr="00034BC1">
        <w:rPr>
          <w:rFonts w:cs="Arial"/>
        </w:rPr>
        <w:t xml:space="preserve">the previous </w:t>
      </w:r>
      <w:r w:rsidRPr="00034BC1">
        <w:rPr>
          <w:rFonts w:cs="Arial"/>
        </w:rPr>
        <w:t>section</w:t>
      </w:r>
      <w:r w:rsidR="007729A2" w:rsidRPr="00034BC1">
        <w:rPr>
          <w:rFonts w:cs="Arial"/>
        </w:rPr>
        <w:t>s</w:t>
      </w:r>
      <w:r w:rsidRPr="00034BC1">
        <w:rPr>
          <w:rFonts w:cs="Arial"/>
        </w:rPr>
        <w:t xml:space="preserve"> we propose the following:</w:t>
      </w:r>
    </w:p>
    <w:bookmarkStart w:id="5" w:name="_GoBack"/>
    <w:bookmarkEnd w:id="5"/>
    <w:p w14:paraId="547B3F84" w14:textId="77777777" w:rsidR="00B250F8"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sidRPr="00034BC1">
        <w:rPr>
          <w:rFonts w:cs="Arial"/>
          <w:b w:val="0"/>
          <w:bCs/>
          <w:lang w:val="en-US"/>
        </w:rPr>
        <w:fldChar w:fldCharType="begin"/>
      </w:r>
      <w:r w:rsidRPr="00034BC1">
        <w:rPr>
          <w:rFonts w:cs="Arial"/>
          <w:b w:val="0"/>
          <w:bCs/>
          <w:lang w:val="en-US"/>
        </w:rPr>
        <w:instrText xml:space="preserve"> TOC \n \h \z \t "Proposal" \c </w:instrText>
      </w:r>
      <w:r w:rsidRPr="00034BC1">
        <w:rPr>
          <w:rFonts w:cs="Arial"/>
          <w:b w:val="0"/>
          <w:bCs/>
          <w:lang w:val="en-US"/>
        </w:rPr>
        <w:fldChar w:fldCharType="separate"/>
      </w:r>
      <w:hyperlink w:anchor="_Toc47636449" w:history="1">
        <w:r w:rsidR="00B250F8" w:rsidRPr="00D91BC8">
          <w:rPr>
            <w:rStyle w:val="Hyperlink"/>
            <w:rFonts w:cs="Arial"/>
            <w:noProof/>
          </w:rPr>
          <w:t>Proposal 1</w:t>
        </w:r>
        <w:r w:rsidR="00B250F8">
          <w:rPr>
            <w:rFonts w:asciiTheme="minorHAnsi" w:eastAsiaTheme="minorEastAsia" w:hAnsiTheme="minorHAnsi" w:cstheme="minorBidi"/>
            <w:b w:val="0"/>
            <w:noProof/>
            <w:sz w:val="22"/>
            <w:szCs w:val="22"/>
            <w:lang w:eastAsia="en-GB"/>
          </w:rPr>
          <w:tab/>
        </w:r>
        <w:r w:rsidR="00B250F8" w:rsidRPr="00D91BC8">
          <w:rPr>
            <w:rStyle w:val="Hyperlink"/>
            <w:rFonts w:cs="Arial"/>
            <w:noProof/>
          </w:rPr>
          <w:t>Send an LS to SA1 (requirements) and SA2 (with CT1 in Cc) and propose that the standard should support that if UE in SNPN access mode cannot get normal service, it should be allowed to select and camp on an acceptable PLMN cell, enter camped on any cell state, without having to switch away from SNPN access mode. This would also mean that UE regularly is trying to return to SNPN for normal service/camping.</w:t>
        </w:r>
      </w:hyperlink>
    </w:p>
    <w:p w14:paraId="3D199C81" w14:textId="17409CFF" w:rsidR="00000FAD" w:rsidRDefault="006E1C82" w:rsidP="00210DBA">
      <w:pPr>
        <w:pStyle w:val="BodyText"/>
        <w:rPr>
          <w:rFonts w:cs="Arial"/>
        </w:rPr>
      </w:pPr>
      <w:r w:rsidRPr="00034BC1">
        <w:rPr>
          <w:rFonts w:cs="Arial"/>
          <w:b/>
          <w:bCs/>
          <w:lang w:val="en-US"/>
        </w:rPr>
        <w:fldChar w:fldCharType="end"/>
      </w:r>
    </w:p>
    <w:sectPr w:rsidR="00000FAD" w:rsidSect="00210DBA">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D01F8" w14:textId="77777777" w:rsidR="001128C7" w:rsidRDefault="001128C7">
      <w:r>
        <w:separator/>
      </w:r>
    </w:p>
  </w:endnote>
  <w:endnote w:type="continuationSeparator" w:id="0">
    <w:p w14:paraId="55D803FE" w14:textId="77777777" w:rsidR="001128C7" w:rsidRDefault="001128C7">
      <w:r>
        <w:continuationSeparator/>
      </w:r>
    </w:p>
  </w:endnote>
  <w:endnote w:type="continuationNotice" w:id="1">
    <w:p w14:paraId="280993A0" w14:textId="77777777" w:rsidR="001128C7" w:rsidRDefault="001128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73F2A" w14:textId="77777777" w:rsidR="001128C7" w:rsidRDefault="001128C7">
      <w:r>
        <w:separator/>
      </w:r>
    </w:p>
  </w:footnote>
  <w:footnote w:type="continuationSeparator" w:id="0">
    <w:p w14:paraId="59BCAA78" w14:textId="77777777" w:rsidR="001128C7" w:rsidRDefault="001128C7">
      <w:r>
        <w:continuationSeparator/>
      </w:r>
    </w:p>
  </w:footnote>
  <w:footnote w:type="continuationNotice" w:id="1">
    <w:p w14:paraId="21A00050" w14:textId="77777777" w:rsidR="001128C7" w:rsidRDefault="001128C7">
      <w:pPr>
        <w:spacing w:after="0"/>
      </w:pPr>
    </w:p>
  </w:footnote>
  <w:footnote w:id="2">
    <w:p w14:paraId="24E38B82" w14:textId="4A458605" w:rsidR="00B24D10" w:rsidRPr="00982C1C" w:rsidRDefault="00B24D10" w:rsidP="00B24D10">
      <w:pPr>
        <w:pStyle w:val="FootnoteText"/>
        <w:rPr>
          <w:lang w:val="en-US"/>
        </w:rPr>
      </w:pPr>
      <w:r>
        <w:rPr>
          <w:rStyle w:val="FootnoteReference"/>
        </w:rPr>
        <w:footnoteRef/>
      </w:r>
      <w:r>
        <w:t xml:space="preserve"> </w:t>
      </w:r>
      <w:r w:rsidR="00107E8C">
        <w:t xml:space="preserve">38.304: </w:t>
      </w:r>
      <w:r w:rsidR="00107E8C" w:rsidRPr="006C3664">
        <w:t>An "acceptable cell" is a cell on which the UE may camp to obtain limited service (originate emergency calls and receive ETWS and CMAS notifications).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F81E86"/>
    <w:multiLevelType w:val="hybridMultilevel"/>
    <w:tmpl w:val="48D472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7DD6818"/>
    <w:multiLevelType w:val="hybridMultilevel"/>
    <w:tmpl w:val="4FEC8E92"/>
    <w:lvl w:ilvl="0" w:tplc="AE86E254">
      <w:start w:val="2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0D66468E"/>
    <w:multiLevelType w:val="multilevel"/>
    <w:tmpl w:val="0D664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DE7053"/>
    <w:multiLevelType w:val="hybridMultilevel"/>
    <w:tmpl w:val="A5AAFD56"/>
    <w:lvl w:ilvl="0" w:tplc="04090017">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75B2DFA"/>
    <w:multiLevelType w:val="hybridMultilevel"/>
    <w:tmpl w:val="6C2AF4E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19FD38A7"/>
    <w:multiLevelType w:val="hybridMultilevel"/>
    <w:tmpl w:val="0EF8BB00"/>
    <w:lvl w:ilvl="0" w:tplc="4D1239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A5F6BEE"/>
    <w:multiLevelType w:val="hybridMultilevel"/>
    <w:tmpl w:val="666E287A"/>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037076A"/>
    <w:multiLevelType w:val="multilevel"/>
    <w:tmpl w:val="3DE2654A"/>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5B7AB5"/>
    <w:multiLevelType w:val="hybridMultilevel"/>
    <w:tmpl w:val="36FCF246"/>
    <w:lvl w:ilvl="0" w:tplc="4626B292">
      <w:start w:val="1"/>
      <w:numFmt w:val="lowerLetter"/>
      <w:lvlText w:val="%1)"/>
      <w:lvlJc w:val="left"/>
      <w:pPr>
        <w:ind w:left="720" w:hanging="360"/>
      </w:pPr>
      <w:rPr>
        <w:b/>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08238C"/>
    <w:multiLevelType w:val="multilevel"/>
    <w:tmpl w:val="3908238C"/>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6A3582"/>
    <w:multiLevelType w:val="hybridMultilevel"/>
    <w:tmpl w:val="293EBC98"/>
    <w:lvl w:ilvl="0" w:tplc="3930714C">
      <w:numFmt w:val="bullet"/>
      <w:lvlText w:val=""/>
      <w:lvlJc w:val="left"/>
      <w:pPr>
        <w:ind w:left="720" w:hanging="360"/>
      </w:pPr>
      <w:rPr>
        <w:rFonts w:ascii="Wingdings" w:eastAsia="MS Mincho"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DAB6E16"/>
    <w:multiLevelType w:val="hybridMultilevel"/>
    <w:tmpl w:val="8B887AC8"/>
    <w:lvl w:ilvl="0" w:tplc="BD3C5C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93A1669"/>
    <w:multiLevelType w:val="hybridMultilevel"/>
    <w:tmpl w:val="12D2777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AF4550C"/>
    <w:multiLevelType w:val="hybridMultilevel"/>
    <w:tmpl w:val="19BCBDB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BD76552"/>
    <w:multiLevelType w:val="hybridMultilevel"/>
    <w:tmpl w:val="A5AAFD56"/>
    <w:lvl w:ilvl="0" w:tplc="04090017">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6"/>
  </w:num>
  <w:num w:numId="3">
    <w:abstractNumId w:val="22"/>
  </w:num>
  <w:num w:numId="4">
    <w:abstractNumId w:val="23"/>
  </w:num>
  <w:num w:numId="5">
    <w:abstractNumId w:val="18"/>
  </w:num>
  <w:num w:numId="6">
    <w:abstractNumId w:val="25"/>
  </w:num>
  <w:num w:numId="7">
    <w:abstractNumId w:val="31"/>
  </w:num>
  <w:num w:numId="8">
    <w:abstractNumId w:val="19"/>
  </w:num>
  <w:num w:numId="9">
    <w:abstractNumId w:val="17"/>
  </w:num>
  <w:num w:numId="10">
    <w:abstractNumId w:val="2"/>
  </w:num>
  <w:num w:numId="11">
    <w:abstractNumId w:val="1"/>
  </w:num>
  <w:num w:numId="12">
    <w:abstractNumId w:val="0"/>
  </w:num>
  <w:num w:numId="13">
    <w:abstractNumId w:val="29"/>
  </w:num>
  <w:num w:numId="14">
    <w:abstractNumId w:val="30"/>
  </w:num>
  <w:num w:numId="15">
    <w:abstractNumId w:val="24"/>
  </w:num>
  <w:num w:numId="16">
    <w:abstractNumId w:val="32"/>
  </w:num>
  <w:num w:numId="17">
    <w:abstractNumId w:val="13"/>
  </w:num>
  <w:num w:numId="18">
    <w:abstractNumId w:val="15"/>
  </w:num>
  <w:num w:numId="19">
    <w:abstractNumId w:val="7"/>
  </w:num>
  <w:num w:numId="20">
    <w:abstractNumId w:val="38"/>
  </w:num>
  <w:num w:numId="21">
    <w:abstractNumId w:val="20"/>
  </w:num>
  <w:num w:numId="22">
    <w:abstractNumId w:val="37"/>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12"/>
  </w:num>
  <w:num w:numId="27">
    <w:abstractNumId w:val="14"/>
  </w:num>
  <w:num w:numId="28">
    <w:abstractNumId w:val="6"/>
  </w:num>
  <w:num w:numId="29">
    <w:abstractNumId w:val="33"/>
  </w:num>
  <w:num w:numId="30">
    <w:abstractNumId w:val="34"/>
  </w:num>
  <w:num w:numId="31">
    <w:abstractNumId w:val="10"/>
  </w:num>
  <w:num w:numId="32">
    <w:abstractNumId w:val="11"/>
  </w:num>
  <w:num w:numId="33">
    <w:abstractNumId w:val="28"/>
  </w:num>
  <w:num w:numId="34">
    <w:abstractNumId w:val="35"/>
  </w:num>
  <w:num w:numId="35">
    <w:abstractNumId w:val="5"/>
  </w:num>
  <w:num w:numId="36">
    <w:abstractNumId w:val="21"/>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0FAD"/>
    <w:rsid w:val="00002A37"/>
    <w:rsid w:val="0000564C"/>
    <w:rsid w:val="00006446"/>
    <w:rsid w:val="00006896"/>
    <w:rsid w:val="00007C38"/>
    <w:rsid w:val="00007CDC"/>
    <w:rsid w:val="000111EF"/>
    <w:rsid w:val="00011429"/>
    <w:rsid w:val="00011B28"/>
    <w:rsid w:val="00012092"/>
    <w:rsid w:val="00015D15"/>
    <w:rsid w:val="000175DF"/>
    <w:rsid w:val="000177C8"/>
    <w:rsid w:val="0002180A"/>
    <w:rsid w:val="0002189A"/>
    <w:rsid w:val="0002564D"/>
    <w:rsid w:val="00025ECA"/>
    <w:rsid w:val="00026E6C"/>
    <w:rsid w:val="00027576"/>
    <w:rsid w:val="000325B8"/>
    <w:rsid w:val="00032E4D"/>
    <w:rsid w:val="00034BC1"/>
    <w:rsid w:val="00034C15"/>
    <w:rsid w:val="000352EB"/>
    <w:rsid w:val="0003642F"/>
    <w:rsid w:val="00036656"/>
    <w:rsid w:val="00036BA1"/>
    <w:rsid w:val="000422E2"/>
    <w:rsid w:val="00042F22"/>
    <w:rsid w:val="000440A6"/>
    <w:rsid w:val="000444EF"/>
    <w:rsid w:val="00044A10"/>
    <w:rsid w:val="00046646"/>
    <w:rsid w:val="0005061F"/>
    <w:rsid w:val="00052A07"/>
    <w:rsid w:val="000534E3"/>
    <w:rsid w:val="00053D0A"/>
    <w:rsid w:val="00055BC1"/>
    <w:rsid w:val="00056029"/>
    <w:rsid w:val="0005606A"/>
    <w:rsid w:val="00057117"/>
    <w:rsid w:val="000616E7"/>
    <w:rsid w:val="00062F92"/>
    <w:rsid w:val="0006487E"/>
    <w:rsid w:val="00065B27"/>
    <w:rsid w:val="00065E1A"/>
    <w:rsid w:val="00066D6D"/>
    <w:rsid w:val="00071F0A"/>
    <w:rsid w:val="00072DC1"/>
    <w:rsid w:val="00075790"/>
    <w:rsid w:val="000776D4"/>
    <w:rsid w:val="00077E5F"/>
    <w:rsid w:val="00077EC1"/>
    <w:rsid w:val="0008036A"/>
    <w:rsid w:val="0008048B"/>
    <w:rsid w:val="00081858"/>
    <w:rsid w:val="00081AE6"/>
    <w:rsid w:val="00084044"/>
    <w:rsid w:val="00085006"/>
    <w:rsid w:val="000855EB"/>
    <w:rsid w:val="00085B52"/>
    <w:rsid w:val="00085C91"/>
    <w:rsid w:val="000866F2"/>
    <w:rsid w:val="00087556"/>
    <w:rsid w:val="00087632"/>
    <w:rsid w:val="0009009F"/>
    <w:rsid w:val="00091557"/>
    <w:rsid w:val="000924C1"/>
    <w:rsid w:val="000924F0"/>
    <w:rsid w:val="00093474"/>
    <w:rsid w:val="000949B1"/>
    <w:rsid w:val="0009510F"/>
    <w:rsid w:val="00096774"/>
    <w:rsid w:val="000A094D"/>
    <w:rsid w:val="000A1B7B"/>
    <w:rsid w:val="000A1EEB"/>
    <w:rsid w:val="000A2D0A"/>
    <w:rsid w:val="000A4E6C"/>
    <w:rsid w:val="000A4F45"/>
    <w:rsid w:val="000A56F2"/>
    <w:rsid w:val="000A68DD"/>
    <w:rsid w:val="000A724B"/>
    <w:rsid w:val="000B0B0F"/>
    <w:rsid w:val="000B2069"/>
    <w:rsid w:val="000B2719"/>
    <w:rsid w:val="000B29EE"/>
    <w:rsid w:val="000B35B7"/>
    <w:rsid w:val="000B3A8F"/>
    <w:rsid w:val="000B4AB9"/>
    <w:rsid w:val="000B53E4"/>
    <w:rsid w:val="000B58C3"/>
    <w:rsid w:val="000B61E9"/>
    <w:rsid w:val="000B64FB"/>
    <w:rsid w:val="000B730C"/>
    <w:rsid w:val="000C05AA"/>
    <w:rsid w:val="000C165A"/>
    <w:rsid w:val="000C2E19"/>
    <w:rsid w:val="000C32C0"/>
    <w:rsid w:val="000C50B2"/>
    <w:rsid w:val="000D05F5"/>
    <w:rsid w:val="000D0A4F"/>
    <w:rsid w:val="000D0D07"/>
    <w:rsid w:val="000D19DA"/>
    <w:rsid w:val="000D3FD1"/>
    <w:rsid w:val="000D4797"/>
    <w:rsid w:val="000D48E4"/>
    <w:rsid w:val="000D4C10"/>
    <w:rsid w:val="000D617D"/>
    <w:rsid w:val="000D74C7"/>
    <w:rsid w:val="000E0527"/>
    <w:rsid w:val="000E1E92"/>
    <w:rsid w:val="000E67B8"/>
    <w:rsid w:val="000F06D6"/>
    <w:rsid w:val="000F0765"/>
    <w:rsid w:val="000F0EB1"/>
    <w:rsid w:val="000F1106"/>
    <w:rsid w:val="000F1115"/>
    <w:rsid w:val="000F29CC"/>
    <w:rsid w:val="000F2B0B"/>
    <w:rsid w:val="000F3BE9"/>
    <w:rsid w:val="000F3F6C"/>
    <w:rsid w:val="000F6DF3"/>
    <w:rsid w:val="001005FF"/>
    <w:rsid w:val="00100B16"/>
    <w:rsid w:val="001021C8"/>
    <w:rsid w:val="0010594B"/>
    <w:rsid w:val="001062FB"/>
    <w:rsid w:val="001063E6"/>
    <w:rsid w:val="0010681D"/>
    <w:rsid w:val="00107B3B"/>
    <w:rsid w:val="00107E8C"/>
    <w:rsid w:val="00107FE7"/>
    <w:rsid w:val="00110159"/>
    <w:rsid w:val="00111253"/>
    <w:rsid w:val="001116E1"/>
    <w:rsid w:val="00111D9D"/>
    <w:rsid w:val="001128C7"/>
    <w:rsid w:val="00113CF4"/>
    <w:rsid w:val="001153EA"/>
    <w:rsid w:val="00115643"/>
    <w:rsid w:val="001160E4"/>
    <w:rsid w:val="00116765"/>
    <w:rsid w:val="001217C9"/>
    <w:rsid w:val="001219F5"/>
    <w:rsid w:val="00121A20"/>
    <w:rsid w:val="00122964"/>
    <w:rsid w:val="001234C1"/>
    <w:rsid w:val="0012377F"/>
    <w:rsid w:val="00124314"/>
    <w:rsid w:val="0012546F"/>
    <w:rsid w:val="001264FB"/>
    <w:rsid w:val="00126B4A"/>
    <w:rsid w:val="001272FA"/>
    <w:rsid w:val="00127518"/>
    <w:rsid w:val="00130E25"/>
    <w:rsid w:val="00132084"/>
    <w:rsid w:val="00132FD0"/>
    <w:rsid w:val="0013430F"/>
    <w:rsid w:val="001344C0"/>
    <w:rsid w:val="001346FA"/>
    <w:rsid w:val="00135252"/>
    <w:rsid w:val="00137AB5"/>
    <w:rsid w:val="00137F0B"/>
    <w:rsid w:val="001404D0"/>
    <w:rsid w:val="00145779"/>
    <w:rsid w:val="00150AFE"/>
    <w:rsid w:val="00151E23"/>
    <w:rsid w:val="001526E0"/>
    <w:rsid w:val="00153809"/>
    <w:rsid w:val="00154762"/>
    <w:rsid w:val="0015499D"/>
    <w:rsid w:val="001551B5"/>
    <w:rsid w:val="0015619D"/>
    <w:rsid w:val="0016085E"/>
    <w:rsid w:val="00164441"/>
    <w:rsid w:val="001659C1"/>
    <w:rsid w:val="00165AC4"/>
    <w:rsid w:val="00166155"/>
    <w:rsid w:val="00167224"/>
    <w:rsid w:val="00171C99"/>
    <w:rsid w:val="001734BE"/>
    <w:rsid w:val="00173A8E"/>
    <w:rsid w:val="00173D00"/>
    <w:rsid w:val="0017502C"/>
    <w:rsid w:val="00175255"/>
    <w:rsid w:val="00177533"/>
    <w:rsid w:val="0018143F"/>
    <w:rsid w:val="00181FF8"/>
    <w:rsid w:val="001829CE"/>
    <w:rsid w:val="00183405"/>
    <w:rsid w:val="00187666"/>
    <w:rsid w:val="001909CB"/>
    <w:rsid w:val="00190AC1"/>
    <w:rsid w:val="00191D6B"/>
    <w:rsid w:val="0019341A"/>
    <w:rsid w:val="0019395D"/>
    <w:rsid w:val="00196702"/>
    <w:rsid w:val="00196832"/>
    <w:rsid w:val="00197DF9"/>
    <w:rsid w:val="001A0B95"/>
    <w:rsid w:val="001A1987"/>
    <w:rsid w:val="001A2564"/>
    <w:rsid w:val="001A6173"/>
    <w:rsid w:val="001A6CBA"/>
    <w:rsid w:val="001B0573"/>
    <w:rsid w:val="001B0D97"/>
    <w:rsid w:val="001B1C5E"/>
    <w:rsid w:val="001B2231"/>
    <w:rsid w:val="001B2781"/>
    <w:rsid w:val="001B552D"/>
    <w:rsid w:val="001B5A5D"/>
    <w:rsid w:val="001B78C9"/>
    <w:rsid w:val="001C1CE5"/>
    <w:rsid w:val="001C1E9C"/>
    <w:rsid w:val="001C2774"/>
    <w:rsid w:val="001C3D2A"/>
    <w:rsid w:val="001C52EE"/>
    <w:rsid w:val="001C5E82"/>
    <w:rsid w:val="001D1B39"/>
    <w:rsid w:val="001D2325"/>
    <w:rsid w:val="001D51BA"/>
    <w:rsid w:val="001D53E7"/>
    <w:rsid w:val="001D6342"/>
    <w:rsid w:val="001D6D53"/>
    <w:rsid w:val="001E23BC"/>
    <w:rsid w:val="001E58E2"/>
    <w:rsid w:val="001E7AED"/>
    <w:rsid w:val="001F0034"/>
    <w:rsid w:val="001F2193"/>
    <w:rsid w:val="001F2959"/>
    <w:rsid w:val="001F3848"/>
    <w:rsid w:val="001F3916"/>
    <w:rsid w:val="001F54C5"/>
    <w:rsid w:val="001F662C"/>
    <w:rsid w:val="001F7074"/>
    <w:rsid w:val="001F7906"/>
    <w:rsid w:val="00200490"/>
    <w:rsid w:val="00201333"/>
    <w:rsid w:val="00201F3A"/>
    <w:rsid w:val="002027B3"/>
    <w:rsid w:val="002030A7"/>
    <w:rsid w:val="00203F96"/>
    <w:rsid w:val="002045AB"/>
    <w:rsid w:val="002069B2"/>
    <w:rsid w:val="00207FA3"/>
    <w:rsid w:val="00210074"/>
    <w:rsid w:val="00210DBA"/>
    <w:rsid w:val="0021133B"/>
    <w:rsid w:val="00212F69"/>
    <w:rsid w:val="00214DA8"/>
    <w:rsid w:val="00215423"/>
    <w:rsid w:val="002158FA"/>
    <w:rsid w:val="00217630"/>
    <w:rsid w:val="00220600"/>
    <w:rsid w:val="00220B13"/>
    <w:rsid w:val="002224DB"/>
    <w:rsid w:val="00223FCB"/>
    <w:rsid w:val="002252C3"/>
    <w:rsid w:val="00225C54"/>
    <w:rsid w:val="00227AC3"/>
    <w:rsid w:val="00227FB7"/>
    <w:rsid w:val="00230765"/>
    <w:rsid w:val="00230859"/>
    <w:rsid w:val="00230D18"/>
    <w:rsid w:val="002319E4"/>
    <w:rsid w:val="00231E6C"/>
    <w:rsid w:val="00232165"/>
    <w:rsid w:val="0023304D"/>
    <w:rsid w:val="002330E0"/>
    <w:rsid w:val="00235632"/>
    <w:rsid w:val="00235872"/>
    <w:rsid w:val="00235C18"/>
    <w:rsid w:val="0023744D"/>
    <w:rsid w:val="00241559"/>
    <w:rsid w:val="002433D2"/>
    <w:rsid w:val="002435B3"/>
    <w:rsid w:val="002458EB"/>
    <w:rsid w:val="00247643"/>
    <w:rsid w:val="002500C8"/>
    <w:rsid w:val="00250748"/>
    <w:rsid w:val="002516CE"/>
    <w:rsid w:val="00251C0E"/>
    <w:rsid w:val="002544D7"/>
    <w:rsid w:val="00257543"/>
    <w:rsid w:val="002617E7"/>
    <w:rsid w:val="00262463"/>
    <w:rsid w:val="002624C7"/>
    <w:rsid w:val="00264228"/>
    <w:rsid w:val="00264334"/>
    <w:rsid w:val="0026473E"/>
    <w:rsid w:val="00266214"/>
    <w:rsid w:val="00266743"/>
    <w:rsid w:val="00267C83"/>
    <w:rsid w:val="00267D59"/>
    <w:rsid w:val="0027144F"/>
    <w:rsid w:val="00271813"/>
    <w:rsid w:val="00271F3A"/>
    <w:rsid w:val="002726BA"/>
    <w:rsid w:val="00273278"/>
    <w:rsid w:val="002737F4"/>
    <w:rsid w:val="002750EF"/>
    <w:rsid w:val="00276D59"/>
    <w:rsid w:val="00277B97"/>
    <w:rsid w:val="00277C99"/>
    <w:rsid w:val="002804C6"/>
    <w:rsid w:val="002805F5"/>
    <w:rsid w:val="00280751"/>
    <w:rsid w:val="002810F0"/>
    <w:rsid w:val="00281532"/>
    <w:rsid w:val="0028233A"/>
    <w:rsid w:val="002827D3"/>
    <w:rsid w:val="0028280A"/>
    <w:rsid w:val="00283746"/>
    <w:rsid w:val="00286ACD"/>
    <w:rsid w:val="0028703C"/>
    <w:rsid w:val="00287838"/>
    <w:rsid w:val="002907B5"/>
    <w:rsid w:val="00291095"/>
    <w:rsid w:val="00292182"/>
    <w:rsid w:val="00292EB7"/>
    <w:rsid w:val="002951F5"/>
    <w:rsid w:val="00295649"/>
    <w:rsid w:val="00296227"/>
    <w:rsid w:val="00296402"/>
    <w:rsid w:val="00296C53"/>
    <w:rsid w:val="00296E50"/>
    <w:rsid w:val="00296F44"/>
    <w:rsid w:val="0029777D"/>
    <w:rsid w:val="00297AA9"/>
    <w:rsid w:val="002A055E"/>
    <w:rsid w:val="002A171D"/>
    <w:rsid w:val="002A1D4E"/>
    <w:rsid w:val="002A2869"/>
    <w:rsid w:val="002A2CF3"/>
    <w:rsid w:val="002A3AB9"/>
    <w:rsid w:val="002A3D22"/>
    <w:rsid w:val="002B0F3B"/>
    <w:rsid w:val="002B1110"/>
    <w:rsid w:val="002B24D6"/>
    <w:rsid w:val="002B4673"/>
    <w:rsid w:val="002C1F54"/>
    <w:rsid w:val="002C1F61"/>
    <w:rsid w:val="002C22C9"/>
    <w:rsid w:val="002C41E6"/>
    <w:rsid w:val="002C4AB8"/>
    <w:rsid w:val="002C4D22"/>
    <w:rsid w:val="002C5057"/>
    <w:rsid w:val="002C61D8"/>
    <w:rsid w:val="002D071A"/>
    <w:rsid w:val="002D0AF0"/>
    <w:rsid w:val="002D1BC1"/>
    <w:rsid w:val="002D34B2"/>
    <w:rsid w:val="002D3998"/>
    <w:rsid w:val="002D44F5"/>
    <w:rsid w:val="002D48B0"/>
    <w:rsid w:val="002D593F"/>
    <w:rsid w:val="002D5B37"/>
    <w:rsid w:val="002D5F53"/>
    <w:rsid w:val="002D7637"/>
    <w:rsid w:val="002D7C83"/>
    <w:rsid w:val="002E05AE"/>
    <w:rsid w:val="002E0C0D"/>
    <w:rsid w:val="002E17F2"/>
    <w:rsid w:val="002E3965"/>
    <w:rsid w:val="002E7CAE"/>
    <w:rsid w:val="002F03A2"/>
    <w:rsid w:val="002F05E5"/>
    <w:rsid w:val="002F138E"/>
    <w:rsid w:val="002F141B"/>
    <w:rsid w:val="002F2771"/>
    <w:rsid w:val="002F37A9"/>
    <w:rsid w:val="002F43C0"/>
    <w:rsid w:val="002F47C1"/>
    <w:rsid w:val="002F4A2C"/>
    <w:rsid w:val="002F6D72"/>
    <w:rsid w:val="003017BF"/>
    <w:rsid w:val="00301CE6"/>
    <w:rsid w:val="0030256B"/>
    <w:rsid w:val="00303070"/>
    <w:rsid w:val="00304068"/>
    <w:rsid w:val="0030501F"/>
    <w:rsid w:val="00307801"/>
    <w:rsid w:val="00307BA1"/>
    <w:rsid w:val="00310780"/>
    <w:rsid w:val="00311702"/>
    <w:rsid w:val="00311E82"/>
    <w:rsid w:val="00313731"/>
    <w:rsid w:val="00313FD6"/>
    <w:rsid w:val="00314154"/>
    <w:rsid w:val="003143BD"/>
    <w:rsid w:val="00315363"/>
    <w:rsid w:val="00316134"/>
    <w:rsid w:val="003176F6"/>
    <w:rsid w:val="003203ED"/>
    <w:rsid w:val="00322C9F"/>
    <w:rsid w:val="00324D23"/>
    <w:rsid w:val="0032744D"/>
    <w:rsid w:val="003274C2"/>
    <w:rsid w:val="00330721"/>
    <w:rsid w:val="0033151C"/>
    <w:rsid w:val="00331751"/>
    <w:rsid w:val="003325D4"/>
    <w:rsid w:val="00333EC0"/>
    <w:rsid w:val="00334579"/>
    <w:rsid w:val="00334A3D"/>
    <w:rsid w:val="00335858"/>
    <w:rsid w:val="00335EB7"/>
    <w:rsid w:val="00336BDA"/>
    <w:rsid w:val="00340504"/>
    <w:rsid w:val="00342BD7"/>
    <w:rsid w:val="00344572"/>
    <w:rsid w:val="00346DB5"/>
    <w:rsid w:val="00346EC0"/>
    <w:rsid w:val="00346FF4"/>
    <w:rsid w:val="003477B1"/>
    <w:rsid w:val="003508A3"/>
    <w:rsid w:val="0035492D"/>
    <w:rsid w:val="00354D52"/>
    <w:rsid w:val="00357380"/>
    <w:rsid w:val="003602D9"/>
    <w:rsid w:val="003604CE"/>
    <w:rsid w:val="0036291C"/>
    <w:rsid w:val="00370A4B"/>
    <w:rsid w:val="00370E47"/>
    <w:rsid w:val="003742AC"/>
    <w:rsid w:val="00375272"/>
    <w:rsid w:val="00377CE1"/>
    <w:rsid w:val="00381BE7"/>
    <w:rsid w:val="00383249"/>
    <w:rsid w:val="00383FE0"/>
    <w:rsid w:val="00385BF0"/>
    <w:rsid w:val="0039166E"/>
    <w:rsid w:val="003925EC"/>
    <w:rsid w:val="0039288F"/>
    <w:rsid w:val="003939FF"/>
    <w:rsid w:val="00393EF8"/>
    <w:rsid w:val="003948D5"/>
    <w:rsid w:val="00396944"/>
    <w:rsid w:val="003A16C8"/>
    <w:rsid w:val="003A2223"/>
    <w:rsid w:val="003A2A0F"/>
    <w:rsid w:val="003A3CE5"/>
    <w:rsid w:val="003A45A1"/>
    <w:rsid w:val="003A4BED"/>
    <w:rsid w:val="003A5B0A"/>
    <w:rsid w:val="003A6BAC"/>
    <w:rsid w:val="003A7044"/>
    <w:rsid w:val="003A70A4"/>
    <w:rsid w:val="003A7EF3"/>
    <w:rsid w:val="003B159C"/>
    <w:rsid w:val="003B369F"/>
    <w:rsid w:val="003B36A3"/>
    <w:rsid w:val="003B3791"/>
    <w:rsid w:val="003B37EB"/>
    <w:rsid w:val="003B4CAB"/>
    <w:rsid w:val="003B64BB"/>
    <w:rsid w:val="003B7B2E"/>
    <w:rsid w:val="003B7FE5"/>
    <w:rsid w:val="003C0AD9"/>
    <w:rsid w:val="003C11C8"/>
    <w:rsid w:val="003C2702"/>
    <w:rsid w:val="003C2EE6"/>
    <w:rsid w:val="003C4979"/>
    <w:rsid w:val="003C5583"/>
    <w:rsid w:val="003C6FFA"/>
    <w:rsid w:val="003C7806"/>
    <w:rsid w:val="003D042F"/>
    <w:rsid w:val="003D109F"/>
    <w:rsid w:val="003D1AB8"/>
    <w:rsid w:val="003D1EA1"/>
    <w:rsid w:val="003D2300"/>
    <w:rsid w:val="003D2478"/>
    <w:rsid w:val="003D3C45"/>
    <w:rsid w:val="003D4B9E"/>
    <w:rsid w:val="003D5228"/>
    <w:rsid w:val="003D5616"/>
    <w:rsid w:val="003D5B1F"/>
    <w:rsid w:val="003D5E96"/>
    <w:rsid w:val="003E15FA"/>
    <w:rsid w:val="003E3613"/>
    <w:rsid w:val="003E3A63"/>
    <w:rsid w:val="003E481B"/>
    <w:rsid w:val="003E55E4"/>
    <w:rsid w:val="003E6C37"/>
    <w:rsid w:val="003E74E3"/>
    <w:rsid w:val="003E770F"/>
    <w:rsid w:val="003F05C7"/>
    <w:rsid w:val="003F2CD4"/>
    <w:rsid w:val="003F4358"/>
    <w:rsid w:val="003F6BBE"/>
    <w:rsid w:val="004000E8"/>
    <w:rsid w:val="004018FA"/>
    <w:rsid w:val="00402847"/>
    <w:rsid w:val="00402E2B"/>
    <w:rsid w:val="0040402C"/>
    <w:rsid w:val="00404246"/>
    <w:rsid w:val="00404390"/>
    <w:rsid w:val="0040512B"/>
    <w:rsid w:val="00405CA5"/>
    <w:rsid w:val="00407CD3"/>
    <w:rsid w:val="00410134"/>
    <w:rsid w:val="00410B72"/>
    <w:rsid w:val="00410F18"/>
    <w:rsid w:val="00411AB2"/>
    <w:rsid w:val="00412634"/>
    <w:rsid w:val="0041263E"/>
    <w:rsid w:val="00413389"/>
    <w:rsid w:val="00413AAC"/>
    <w:rsid w:val="00413E92"/>
    <w:rsid w:val="0041673C"/>
    <w:rsid w:val="00416A9D"/>
    <w:rsid w:val="00416E2A"/>
    <w:rsid w:val="00417FA8"/>
    <w:rsid w:val="00421105"/>
    <w:rsid w:val="004219B4"/>
    <w:rsid w:val="00422130"/>
    <w:rsid w:val="004223E6"/>
    <w:rsid w:val="00422687"/>
    <w:rsid w:val="00422AA4"/>
    <w:rsid w:val="004242F4"/>
    <w:rsid w:val="00427248"/>
    <w:rsid w:val="004364C0"/>
    <w:rsid w:val="00437447"/>
    <w:rsid w:val="00441A92"/>
    <w:rsid w:val="004431DC"/>
    <w:rsid w:val="00444F56"/>
    <w:rsid w:val="00445EE0"/>
    <w:rsid w:val="00446488"/>
    <w:rsid w:val="004517AA"/>
    <w:rsid w:val="00452CAC"/>
    <w:rsid w:val="004538D0"/>
    <w:rsid w:val="00453922"/>
    <w:rsid w:val="00457565"/>
    <w:rsid w:val="00457B71"/>
    <w:rsid w:val="00457FC7"/>
    <w:rsid w:val="004621B6"/>
    <w:rsid w:val="0046498E"/>
    <w:rsid w:val="0046667C"/>
    <w:rsid w:val="004669E2"/>
    <w:rsid w:val="0046768E"/>
    <w:rsid w:val="00467694"/>
    <w:rsid w:val="00470144"/>
    <w:rsid w:val="00470C31"/>
    <w:rsid w:val="004719D6"/>
    <w:rsid w:val="00471DE0"/>
    <w:rsid w:val="00472248"/>
    <w:rsid w:val="004734D0"/>
    <w:rsid w:val="00474287"/>
    <w:rsid w:val="00474B28"/>
    <w:rsid w:val="00474BED"/>
    <w:rsid w:val="0047556B"/>
    <w:rsid w:val="00476095"/>
    <w:rsid w:val="00476FA1"/>
    <w:rsid w:val="00477768"/>
    <w:rsid w:val="00483A64"/>
    <w:rsid w:val="004860E8"/>
    <w:rsid w:val="00490842"/>
    <w:rsid w:val="00492BC5"/>
    <w:rsid w:val="004932BF"/>
    <w:rsid w:val="004964F1"/>
    <w:rsid w:val="0049747D"/>
    <w:rsid w:val="00497908"/>
    <w:rsid w:val="00497C38"/>
    <w:rsid w:val="004A16BC"/>
    <w:rsid w:val="004A2B94"/>
    <w:rsid w:val="004A3F06"/>
    <w:rsid w:val="004A4759"/>
    <w:rsid w:val="004A60CA"/>
    <w:rsid w:val="004A6314"/>
    <w:rsid w:val="004A664D"/>
    <w:rsid w:val="004B4CC4"/>
    <w:rsid w:val="004B6457"/>
    <w:rsid w:val="004B6F6A"/>
    <w:rsid w:val="004B7C0C"/>
    <w:rsid w:val="004C0E96"/>
    <w:rsid w:val="004C26F4"/>
    <w:rsid w:val="004C2D1B"/>
    <w:rsid w:val="004C3898"/>
    <w:rsid w:val="004C4EE1"/>
    <w:rsid w:val="004D0C99"/>
    <w:rsid w:val="004D16C6"/>
    <w:rsid w:val="004D22C3"/>
    <w:rsid w:val="004D34D1"/>
    <w:rsid w:val="004D36B1"/>
    <w:rsid w:val="004D3FF9"/>
    <w:rsid w:val="004D40BC"/>
    <w:rsid w:val="004D5405"/>
    <w:rsid w:val="004D7EBD"/>
    <w:rsid w:val="004E0E8E"/>
    <w:rsid w:val="004E1A1C"/>
    <w:rsid w:val="004E2680"/>
    <w:rsid w:val="004E28F9"/>
    <w:rsid w:val="004E2997"/>
    <w:rsid w:val="004E462E"/>
    <w:rsid w:val="004E56DC"/>
    <w:rsid w:val="004E5CEB"/>
    <w:rsid w:val="004E76F4"/>
    <w:rsid w:val="004F0272"/>
    <w:rsid w:val="004F0B4E"/>
    <w:rsid w:val="004F0B6C"/>
    <w:rsid w:val="004F2078"/>
    <w:rsid w:val="004F306D"/>
    <w:rsid w:val="004F4DA3"/>
    <w:rsid w:val="004F530A"/>
    <w:rsid w:val="004F594F"/>
    <w:rsid w:val="004F7546"/>
    <w:rsid w:val="005018D7"/>
    <w:rsid w:val="00501F19"/>
    <w:rsid w:val="0050497C"/>
    <w:rsid w:val="00506557"/>
    <w:rsid w:val="0050677A"/>
    <w:rsid w:val="00507934"/>
    <w:rsid w:val="00507BC2"/>
    <w:rsid w:val="005108D8"/>
    <w:rsid w:val="005116F9"/>
    <w:rsid w:val="005149DD"/>
    <w:rsid w:val="005153A7"/>
    <w:rsid w:val="00515954"/>
    <w:rsid w:val="005219CF"/>
    <w:rsid w:val="00521BCB"/>
    <w:rsid w:val="00522BCF"/>
    <w:rsid w:val="00525384"/>
    <w:rsid w:val="00533D6F"/>
    <w:rsid w:val="0053418E"/>
    <w:rsid w:val="00534B59"/>
    <w:rsid w:val="00535557"/>
    <w:rsid w:val="00536759"/>
    <w:rsid w:val="00537C62"/>
    <w:rsid w:val="00541253"/>
    <w:rsid w:val="005415C0"/>
    <w:rsid w:val="0054301E"/>
    <w:rsid w:val="005453C2"/>
    <w:rsid w:val="00546196"/>
    <w:rsid w:val="00546970"/>
    <w:rsid w:val="00546DC8"/>
    <w:rsid w:val="005475C5"/>
    <w:rsid w:val="00547DB8"/>
    <w:rsid w:val="0055291C"/>
    <w:rsid w:val="0055302F"/>
    <w:rsid w:val="00554E19"/>
    <w:rsid w:val="0056121F"/>
    <w:rsid w:val="00561759"/>
    <w:rsid w:val="005619D4"/>
    <w:rsid w:val="00563701"/>
    <w:rsid w:val="00565CF3"/>
    <w:rsid w:val="00570C99"/>
    <w:rsid w:val="00571C79"/>
    <w:rsid w:val="00572505"/>
    <w:rsid w:val="00572925"/>
    <w:rsid w:val="00574EE0"/>
    <w:rsid w:val="005763B0"/>
    <w:rsid w:val="005765B8"/>
    <w:rsid w:val="00577218"/>
    <w:rsid w:val="005803D7"/>
    <w:rsid w:val="0058166E"/>
    <w:rsid w:val="005817CB"/>
    <w:rsid w:val="00581CEA"/>
    <w:rsid w:val="00582809"/>
    <w:rsid w:val="005841EC"/>
    <w:rsid w:val="00585041"/>
    <w:rsid w:val="005853A4"/>
    <w:rsid w:val="00585D59"/>
    <w:rsid w:val="0058798C"/>
    <w:rsid w:val="005900FA"/>
    <w:rsid w:val="00590501"/>
    <w:rsid w:val="005935A4"/>
    <w:rsid w:val="0059474B"/>
    <w:rsid w:val="005948C2"/>
    <w:rsid w:val="00595DCA"/>
    <w:rsid w:val="005974F9"/>
    <w:rsid w:val="0059779B"/>
    <w:rsid w:val="005A063C"/>
    <w:rsid w:val="005A115D"/>
    <w:rsid w:val="005A209A"/>
    <w:rsid w:val="005A662D"/>
    <w:rsid w:val="005B1409"/>
    <w:rsid w:val="005B2280"/>
    <w:rsid w:val="005B27E6"/>
    <w:rsid w:val="005B35D7"/>
    <w:rsid w:val="005B392A"/>
    <w:rsid w:val="005B3AA3"/>
    <w:rsid w:val="005B4C6D"/>
    <w:rsid w:val="005B69C2"/>
    <w:rsid w:val="005B6F83"/>
    <w:rsid w:val="005B77B9"/>
    <w:rsid w:val="005C0218"/>
    <w:rsid w:val="005C1E93"/>
    <w:rsid w:val="005C2317"/>
    <w:rsid w:val="005C2EEC"/>
    <w:rsid w:val="005C4ED2"/>
    <w:rsid w:val="005C513A"/>
    <w:rsid w:val="005C74FB"/>
    <w:rsid w:val="005C75FB"/>
    <w:rsid w:val="005D1309"/>
    <w:rsid w:val="005D1602"/>
    <w:rsid w:val="005D2115"/>
    <w:rsid w:val="005D27DA"/>
    <w:rsid w:val="005D2F86"/>
    <w:rsid w:val="005D4CCB"/>
    <w:rsid w:val="005E223C"/>
    <w:rsid w:val="005E2CD5"/>
    <w:rsid w:val="005E385F"/>
    <w:rsid w:val="005E3CFF"/>
    <w:rsid w:val="005E4717"/>
    <w:rsid w:val="005E4B42"/>
    <w:rsid w:val="005E57A6"/>
    <w:rsid w:val="005E5B81"/>
    <w:rsid w:val="005E7712"/>
    <w:rsid w:val="005F106F"/>
    <w:rsid w:val="005F2CB1"/>
    <w:rsid w:val="005F3025"/>
    <w:rsid w:val="005F3CF0"/>
    <w:rsid w:val="005F618C"/>
    <w:rsid w:val="005F70BD"/>
    <w:rsid w:val="00601739"/>
    <w:rsid w:val="0060283C"/>
    <w:rsid w:val="00604F14"/>
    <w:rsid w:val="00605A3F"/>
    <w:rsid w:val="006066F6"/>
    <w:rsid w:val="00607CC1"/>
    <w:rsid w:val="00611B83"/>
    <w:rsid w:val="006125A4"/>
    <w:rsid w:val="00613257"/>
    <w:rsid w:val="00620A71"/>
    <w:rsid w:val="00620D80"/>
    <w:rsid w:val="00620D8E"/>
    <w:rsid w:val="00621081"/>
    <w:rsid w:val="0062112A"/>
    <w:rsid w:val="00622452"/>
    <w:rsid w:val="006234A6"/>
    <w:rsid w:val="006246C3"/>
    <w:rsid w:val="00625BEC"/>
    <w:rsid w:val="00630001"/>
    <w:rsid w:val="006307B9"/>
    <w:rsid w:val="00630B5E"/>
    <w:rsid w:val="006311B3"/>
    <w:rsid w:val="006317FD"/>
    <w:rsid w:val="00632262"/>
    <w:rsid w:val="0063284C"/>
    <w:rsid w:val="006351CB"/>
    <w:rsid w:val="0063586A"/>
    <w:rsid w:val="00636398"/>
    <w:rsid w:val="006368D3"/>
    <w:rsid w:val="006370C9"/>
    <w:rsid w:val="006377EC"/>
    <w:rsid w:val="0064151F"/>
    <w:rsid w:val="00641533"/>
    <w:rsid w:val="0064208D"/>
    <w:rsid w:val="00642CAD"/>
    <w:rsid w:val="00643475"/>
    <w:rsid w:val="00643534"/>
    <w:rsid w:val="0064396A"/>
    <w:rsid w:val="006451CA"/>
    <w:rsid w:val="0064624E"/>
    <w:rsid w:val="00646D88"/>
    <w:rsid w:val="00647DF5"/>
    <w:rsid w:val="00650AB9"/>
    <w:rsid w:val="00652BD0"/>
    <w:rsid w:val="006532D4"/>
    <w:rsid w:val="00653DFC"/>
    <w:rsid w:val="0065529B"/>
    <w:rsid w:val="00655733"/>
    <w:rsid w:val="00655ACD"/>
    <w:rsid w:val="00655F51"/>
    <w:rsid w:val="00656A92"/>
    <w:rsid w:val="00656DDE"/>
    <w:rsid w:val="0066011D"/>
    <w:rsid w:val="006607C0"/>
    <w:rsid w:val="006611F6"/>
    <w:rsid w:val="006613A6"/>
    <w:rsid w:val="006613C7"/>
    <w:rsid w:val="006627A2"/>
    <w:rsid w:val="006634E6"/>
    <w:rsid w:val="00663AD7"/>
    <w:rsid w:val="006655EE"/>
    <w:rsid w:val="006677C4"/>
    <w:rsid w:val="00667EE7"/>
    <w:rsid w:val="00670922"/>
    <w:rsid w:val="00670BE1"/>
    <w:rsid w:val="006715C9"/>
    <w:rsid w:val="00671D0F"/>
    <w:rsid w:val="0067218F"/>
    <w:rsid w:val="006736CD"/>
    <w:rsid w:val="006741F2"/>
    <w:rsid w:val="00674BE3"/>
    <w:rsid w:val="00674CC3"/>
    <w:rsid w:val="00675ACA"/>
    <w:rsid w:val="00675C72"/>
    <w:rsid w:val="006771F9"/>
    <w:rsid w:val="006776D7"/>
    <w:rsid w:val="00680EAD"/>
    <w:rsid w:val="00681003"/>
    <w:rsid w:val="006817C9"/>
    <w:rsid w:val="00682B03"/>
    <w:rsid w:val="0068384B"/>
    <w:rsid w:val="00683ECE"/>
    <w:rsid w:val="0068599F"/>
    <w:rsid w:val="006870AE"/>
    <w:rsid w:val="00691492"/>
    <w:rsid w:val="006915DE"/>
    <w:rsid w:val="006936CB"/>
    <w:rsid w:val="00693909"/>
    <w:rsid w:val="00693D76"/>
    <w:rsid w:val="00694E32"/>
    <w:rsid w:val="00695FC2"/>
    <w:rsid w:val="006966D7"/>
    <w:rsid w:val="00696949"/>
    <w:rsid w:val="00697052"/>
    <w:rsid w:val="006A2086"/>
    <w:rsid w:val="006A412C"/>
    <w:rsid w:val="006A46FB"/>
    <w:rsid w:val="006A47EC"/>
    <w:rsid w:val="006A5D11"/>
    <w:rsid w:val="006A5E28"/>
    <w:rsid w:val="006A697B"/>
    <w:rsid w:val="006A786F"/>
    <w:rsid w:val="006A7AFF"/>
    <w:rsid w:val="006B1816"/>
    <w:rsid w:val="006B2099"/>
    <w:rsid w:val="006B217C"/>
    <w:rsid w:val="006B2259"/>
    <w:rsid w:val="006B50CF"/>
    <w:rsid w:val="006B6040"/>
    <w:rsid w:val="006B659D"/>
    <w:rsid w:val="006B6873"/>
    <w:rsid w:val="006C03B8"/>
    <w:rsid w:val="006C3346"/>
    <w:rsid w:val="006C391F"/>
    <w:rsid w:val="006C4D00"/>
    <w:rsid w:val="006C4D9A"/>
    <w:rsid w:val="006C5EC9"/>
    <w:rsid w:val="006C6059"/>
    <w:rsid w:val="006C7522"/>
    <w:rsid w:val="006C7E55"/>
    <w:rsid w:val="006D01D4"/>
    <w:rsid w:val="006D37A8"/>
    <w:rsid w:val="006D631E"/>
    <w:rsid w:val="006D6F08"/>
    <w:rsid w:val="006D72E9"/>
    <w:rsid w:val="006E057D"/>
    <w:rsid w:val="006E062C"/>
    <w:rsid w:val="006E1C82"/>
    <w:rsid w:val="006E28B7"/>
    <w:rsid w:val="006E2A9B"/>
    <w:rsid w:val="006E3310"/>
    <w:rsid w:val="006E4E39"/>
    <w:rsid w:val="006E565E"/>
    <w:rsid w:val="006E673D"/>
    <w:rsid w:val="006E7D3B"/>
    <w:rsid w:val="006F1B70"/>
    <w:rsid w:val="006F31F2"/>
    <w:rsid w:val="006F341D"/>
    <w:rsid w:val="006F3B11"/>
    <w:rsid w:val="006F3CDE"/>
    <w:rsid w:val="006F5043"/>
    <w:rsid w:val="006F52CF"/>
    <w:rsid w:val="006F58D4"/>
    <w:rsid w:val="006F6582"/>
    <w:rsid w:val="0070018F"/>
    <w:rsid w:val="0070346E"/>
    <w:rsid w:val="00704EDB"/>
    <w:rsid w:val="00705004"/>
    <w:rsid w:val="00706101"/>
    <w:rsid w:val="00707072"/>
    <w:rsid w:val="00707581"/>
    <w:rsid w:val="00707635"/>
    <w:rsid w:val="00707D61"/>
    <w:rsid w:val="0071144B"/>
    <w:rsid w:val="00712287"/>
    <w:rsid w:val="00712772"/>
    <w:rsid w:val="007140A4"/>
    <w:rsid w:val="007148D3"/>
    <w:rsid w:val="00714B3E"/>
    <w:rsid w:val="007156DC"/>
    <w:rsid w:val="00715B9A"/>
    <w:rsid w:val="00724148"/>
    <w:rsid w:val="007257D0"/>
    <w:rsid w:val="00726EA6"/>
    <w:rsid w:val="00727208"/>
    <w:rsid w:val="00727680"/>
    <w:rsid w:val="00730EF3"/>
    <w:rsid w:val="00732DE9"/>
    <w:rsid w:val="00734126"/>
    <w:rsid w:val="007348B1"/>
    <w:rsid w:val="0073512E"/>
    <w:rsid w:val="007362A6"/>
    <w:rsid w:val="00736D7D"/>
    <w:rsid w:val="007401B2"/>
    <w:rsid w:val="007401CB"/>
    <w:rsid w:val="00740E58"/>
    <w:rsid w:val="007445A0"/>
    <w:rsid w:val="0074524B"/>
    <w:rsid w:val="00747D8B"/>
    <w:rsid w:val="00747FB4"/>
    <w:rsid w:val="00750189"/>
    <w:rsid w:val="00751228"/>
    <w:rsid w:val="0075192D"/>
    <w:rsid w:val="00752FE9"/>
    <w:rsid w:val="00753647"/>
    <w:rsid w:val="00756A86"/>
    <w:rsid w:val="007571E1"/>
    <w:rsid w:val="00757A16"/>
    <w:rsid w:val="007604B2"/>
    <w:rsid w:val="00761C18"/>
    <w:rsid w:val="0076258C"/>
    <w:rsid w:val="007644F0"/>
    <w:rsid w:val="00765281"/>
    <w:rsid w:val="007660E8"/>
    <w:rsid w:val="00766BAD"/>
    <w:rsid w:val="00767D35"/>
    <w:rsid w:val="00771EF2"/>
    <w:rsid w:val="0077262D"/>
    <w:rsid w:val="007729A2"/>
    <w:rsid w:val="00774290"/>
    <w:rsid w:val="007755F2"/>
    <w:rsid w:val="00776971"/>
    <w:rsid w:val="007801C1"/>
    <w:rsid w:val="00780A80"/>
    <w:rsid w:val="0078177E"/>
    <w:rsid w:val="0078304C"/>
    <w:rsid w:val="00783673"/>
    <w:rsid w:val="00785490"/>
    <w:rsid w:val="007925EA"/>
    <w:rsid w:val="00793CD8"/>
    <w:rsid w:val="00793D54"/>
    <w:rsid w:val="00795C82"/>
    <w:rsid w:val="00795C92"/>
    <w:rsid w:val="00796231"/>
    <w:rsid w:val="007A0FB1"/>
    <w:rsid w:val="007A1CB3"/>
    <w:rsid w:val="007A306F"/>
    <w:rsid w:val="007A43A6"/>
    <w:rsid w:val="007A4B03"/>
    <w:rsid w:val="007A58A6"/>
    <w:rsid w:val="007A61FB"/>
    <w:rsid w:val="007B004D"/>
    <w:rsid w:val="007B35F1"/>
    <w:rsid w:val="007B3D2D"/>
    <w:rsid w:val="007B50AE"/>
    <w:rsid w:val="007B51DF"/>
    <w:rsid w:val="007B75BB"/>
    <w:rsid w:val="007B7965"/>
    <w:rsid w:val="007C02A3"/>
    <w:rsid w:val="007C05DD"/>
    <w:rsid w:val="007C173C"/>
    <w:rsid w:val="007C3D18"/>
    <w:rsid w:val="007C44DF"/>
    <w:rsid w:val="007C60BF"/>
    <w:rsid w:val="007C639C"/>
    <w:rsid w:val="007C668C"/>
    <w:rsid w:val="007C6A07"/>
    <w:rsid w:val="007C75A1"/>
    <w:rsid w:val="007C77A5"/>
    <w:rsid w:val="007D04E5"/>
    <w:rsid w:val="007D05DD"/>
    <w:rsid w:val="007D3D8A"/>
    <w:rsid w:val="007D5901"/>
    <w:rsid w:val="007D7526"/>
    <w:rsid w:val="007E1002"/>
    <w:rsid w:val="007E2BAB"/>
    <w:rsid w:val="007E34AD"/>
    <w:rsid w:val="007E4610"/>
    <w:rsid w:val="007E4715"/>
    <w:rsid w:val="007E505B"/>
    <w:rsid w:val="007E7091"/>
    <w:rsid w:val="007E762F"/>
    <w:rsid w:val="007F12D2"/>
    <w:rsid w:val="007F1C11"/>
    <w:rsid w:val="007F262F"/>
    <w:rsid w:val="007F2905"/>
    <w:rsid w:val="007F2935"/>
    <w:rsid w:val="007F3062"/>
    <w:rsid w:val="007F385B"/>
    <w:rsid w:val="007F64F3"/>
    <w:rsid w:val="00801F3A"/>
    <w:rsid w:val="00803FAE"/>
    <w:rsid w:val="0080605F"/>
    <w:rsid w:val="008074EC"/>
    <w:rsid w:val="00807786"/>
    <w:rsid w:val="00807E2A"/>
    <w:rsid w:val="00810BEB"/>
    <w:rsid w:val="00811FCB"/>
    <w:rsid w:val="00813F28"/>
    <w:rsid w:val="008158D6"/>
    <w:rsid w:val="00817196"/>
    <w:rsid w:val="00821AD8"/>
    <w:rsid w:val="008235DB"/>
    <w:rsid w:val="00824AB4"/>
    <w:rsid w:val="00825C42"/>
    <w:rsid w:val="00825D25"/>
    <w:rsid w:val="00827727"/>
    <w:rsid w:val="00827D6F"/>
    <w:rsid w:val="00831FF8"/>
    <w:rsid w:val="0083227A"/>
    <w:rsid w:val="008346EC"/>
    <w:rsid w:val="008376AC"/>
    <w:rsid w:val="008401EF"/>
    <w:rsid w:val="00840310"/>
    <w:rsid w:val="0084331E"/>
    <w:rsid w:val="008444E8"/>
    <w:rsid w:val="00844E80"/>
    <w:rsid w:val="0084599E"/>
    <w:rsid w:val="00846FE7"/>
    <w:rsid w:val="00847D92"/>
    <w:rsid w:val="00850628"/>
    <w:rsid w:val="00852D3D"/>
    <w:rsid w:val="00854E51"/>
    <w:rsid w:val="00856911"/>
    <w:rsid w:val="00856EA3"/>
    <w:rsid w:val="008600AB"/>
    <w:rsid w:val="00862AC5"/>
    <w:rsid w:val="008637AB"/>
    <w:rsid w:val="00865F50"/>
    <w:rsid w:val="008677FD"/>
    <w:rsid w:val="008706D4"/>
    <w:rsid w:val="00870F8A"/>
    <w:rsid w:val="00871632"/>
    <w:rsid w:val="008719A4"/>
    <w:rsid w:val="00871D23"/>
    <w:rsid w:val="008727F4"/>
    <w:rsid w:val="008729DB"/>
    <w:rsid w:val="00874312"/>
    <w:rsid w:val="0087437C"/>
    <w:rsid w:val="008756AB"/>
    <w:rsid w:val="00875CD7"/>
    <w:rsid w:val="00876B4D"/>
    <w:rsid w:val="00877F18"/>
    <w:rsid w:val="00880166"/>
    <w:rsid w:val="00883833"/>
    <w:rsid w:val="00887DBC"/>
    <w:rsid w:val="00887F6F"/>
    <w:rsid w:val="008924E5"/>
    <w:rsid w:val="008941D7"/>
    <w:rsid w:val="008941E3"/>
    <w:rsid w:val="00894A88"/>
    <w:rsid w:val="00895100"/>
    <w:rsid w:val="00895386"/>
    <w:rsid w:val="00897731"/>
    <w:rsid w:val="008A21FF"/>
    <w:rsid w:val="008A2CE2"/>
    <w:rsid w:val="008A30AC"/>
    <w:rsid w:val="008A42D2"/>
    <w:rsid w:val="008A44B8"/>
    <w:rsid w:val="008A51A8"/>
    <w:rsid w:val="008A54C7"/>
    <w:rsid w:val="008A77D8"/>
    <w:rsid w:val="008B0483"/>
    <w:rsid w:val="008B120C"/>
    <w:rsid w:val="008B1C81"/>
    <w:rsid w:val="008B51A0"/>
    <w:rsid w:val="008B592A"/>
    <w:rsid w:val="008B7B5C"/>
    <w:rsid w:val="008C035D"/>
    <w:rsid w:val="008C085D"/>
    <w:rsid w:val="008C0C99"/>
    <w:rsid w:val="008C0DC6"/>
    <w:rsid w:val="008C2017"/>
    <w:rsid w:val="008C2691"/>
    <w:rsid w:val="008C310F"/>
    <w:rsid w:val="008C4958"/>
    <w:rsid w:val="008C4BAA"/>
    <w:rsid w:val="008C6AE8"/>
    <w:rsid w:val="008C6C68"/>
    <w:rsid w:val="008C7573"/>
    <w:rsid w:val="008D00A5"/>
    <w:rsid w:val="008D25AE"/>
    <w:rsid w:val="008D3163"/>
    <w:rsid w:val="008D34F1"/>
    <w:rsid w:val="008D39D8"/>
    <w:rsid w:val="008D6D1A"/>
    <w:rsid w:val="008D764C"/>
    <w:rsid w:val="008E065E"/>
    <w:rsid w:val="008E0927"/>
    <w:rsid w:val="008E1909"/>
    <w:rsid w:val="008E6400"/>
    <w:rsid w:val="008E67A2"/>
    <w:rsid w:val="008E7F52"/>
    <w:rsid w:val="008F1893"/>
    <w:rsid w:val="008F1EAB"/>
    <w:rsid w:val="008F326F"/>
    <w:rsid w:val="008F33DC"/>
    <w:rsid w:val="008F414E"/>
    <w:rsid w:val="008F42C9"/>
    <w:rsid w:val="008F477F"/>
    <w:rsid w:val="008F5C6D"/>
    <w:rsid w:val="008F73AE"/>
    <w:rsid w:val="008F77DE"/>
    <w:rsid w:val="008F7C09"/>
    <w:rsid w:val="009002AF"/>
    <w:rsid w:val="00900612"/>
    <w:rsid w:val="009011EF"/>
    <w:rsid w:val="00902350"/>
    <w:rsid w:val="0090336B"/>
    <w:rsid w:val="0090403A"/>
    <w:rsid w:val="009053AA"/>
    <w:rsid w:val="00906939"/>
    <w:rsid w:val="00910B7D"/>
    <w:rsid w:val="00911DFB"/>
    <w:rsid w:val="009139D9"/>
    <w:rsid w:val="00914AD8"/>
    <w:rsid w:val="00915423"/>
    <w:rsid w:val="00916079"/>
    <w:rsid w:val="00917CE9"/>
    <w:rsid w:val="00917EE0"/>
    <w:rsid w:val="00920BF2"/>
    <w:rsid w:val="00922010"/>
    <w:rsid w:val="00923442"/>
    <w:rsid w:val="00923535"/>
    <w:rsid w:val="00924FF7"/>
    <w:rsid w:val="00926EB7"/>
    <w:rsid w:val="00927522"/>
    <w:rsid w:val="00930365"/>
    <w:rsid w:val="0093158E"/>
    <w:rsid w:val="00931920"/>
    <w:rsid w:val="00931BD9"/>
    <w:rsid w:val="00932579"/>
    <w:rsid w:val="00932E5D"/>
    <w:rsid w:val="00933346"/>
    <w:rsid w:val="00935EBD"/>
    <w:rsid w:val="009368F3"/>
    <w:rsid w:val="00937F30"/>
    <w:rsid w:val="009408F2"/>
    <w:rsid w:val="00941636"/>
    <w:rsid w:val="00941EB2"/>
    <w:rsid w:val="00943742"/>
    <w:rsid w:val="00943AA4"/>
    <w:rsid w:val="00945C05"/>
    <w:rsid w:val="00945CCE"/>
    <w:rsid w:val="00946945"/>
    <w:rsid w:val="00947713"/>
    <w:rsid w:val="009478F9"/>
    <w:rsid w:val="00950DE7"/>
    <w:rsid w:val="00953920"/>
    <w:rsid w:val="00953D47"/>
    <w:rsid w:val="00954D37"/>
    <w:rsid w:val="0095681E"/>
    <w:rsid w:val="009572D4"/>
    <w:rsid w:val="00960069"/>
    <w:rsid w:val="00960D40"/>
    <w:rsid w:val="009610D0"/>
    <w:rsid w:val="00961921"/>
    <w:rsid w:val="00963DD4"/>
    <w:rsid w:val="0096430A"/>
    <w:rsid w:val="00965138"/>
    <w:rsid w:val="0096554B"/>
    <w:rsid w:val="0096584A"/>
    <w:rsid w:val="009705ED"/>
    <w:rsid w:val="00971F08"/>
    <w:rsid w:val="00973031"/>
    <w:rsid w:val="00973BD0"/>
    <w:rsid w:val="00974C2B"/>
    <w:rsid w:val="0097603D"/>
    <w:rsid w:val="00976949"/>
    <w:rsid w:val="00980477"/>
    <w:rsid w:val="00982D6B"/>
    <w:rsid w:val="00983A95"/>
    <w:rsid w:val="00985253"/>
    <w:rsid w:val="009853B3"/>
    <w:rsid w:val="00985B79"/>
    <w:rsid w:val="00990630"/>
    <w:rsid w:val="00991761"/>
    <w:rsid w:val="0099283C"/>
    <w:rsid w:val="0099312C"/>
    <w:rsid w:val="00994DCA"/>
    <w:rsid w:val="009960EC"/>
    <w:rsid w:val="00996AF8"/>
    <w:rsid w:val="009970DD"/>
    <w:rsid w:val="00997E8C"/>
    <w:rsid w:val="009A021B"/>
    <w:rsid w:val="009A03E7"/>
    <w:rsid w:val="009A0B04"/>
    <w:rsid w:val="009A0FBA"/>
    <w:rsid w:val="009A1601"/>
    <w:rsid w:val="009A1942"/>
    <w:rsid w:val="009A3BB6"/>
    <w:rsid w:val="009A40BC"/>
    <w:rsid w:val="009A462D"/>
    <w:rsid w:val="009A4D6D"/>
    <w:rsid w:val="009A5CBA"/>
    <w:rsid w:val="009A7583"/>
    <w:rsid w:val="009A7F90"/>
    <w:rsid w:val="009B0386"/>
    <w:rsid w:val="009B1F30"/>
    <w:rsid w:val="009B1F70"/>
    <w:rsid w:val="009B2CD6"/>
    <w:rsid w:val="009B381D"/>
    <w:rsid w:val="009B3AC2"/>
    <w:rsid w:val="009B4DF4"/>
    <w:rsid w:val="009B517B"/>
    <w:rsid w:val="009B564E"/>
    <w:rsid w:val="009B7328"/>
    <w:rsid w:val="009B76F8"/>
    <w:rsid w:val="009B7E87"/>
    <w:rsid w:val="009C0169"/>
    <w:rsid w:val="009C2E12"/>
    <w:rsid w:val="009C38CD"/>
    <w:rsid w:val="009C3CFB"/>
    <w:rsid w:val="009C403E"/>
    <w:rsid w:val="009C50A3"/>
    <w:rsid w:val="009C6B3E"/>
    <w:rsid w:val="009D4FF0"/>
    <w:rsid w:val="009D703C"/>
    <w:rsid w:val="009D718F"/>
    <w:rsid w:val="009D7F6D"/>
    <w:rsid w:val="009E0296"/>
    <w:rsid w:val="009E068F"/>
    <w:rsid w:val="009E0C40"/>
    <w:rsid w:val="009E14E0"/>
    <w:rsid w:val="009E229F"/>
    <w:rsid w:val="009E2681"/>
    <w:rsid w:val="009E30E6"/>
    <w:rsid w:val="009E35DB"/>
    <w:rsid w:val="009E44C3"/>
    <w:rsid w:val="009E47A3"/>
    <w:rsid w:val="009E5161"/>
    <w:rsid w:val="009F08F3"/>
    <w:rsid w:val="009F12F8"/>
    <w:rsid w:val="009F1340"/>
    <w:rsid w:val="009F1897"/>
    <w:rsid w:val="009F332F"/>
    <w:rsid w:val="009F344F"/>
    <w:rsid w:val="009F5088"/>
    <w:rsid w:val="009F61B8"/>
    <w:rsid w:val="009F703D"/>
    <w:rsid w:val="00A0273B"/>
    <w:rsid w:val="00A031D8"/>
    <w:rsid w:val="00A048A8"/>
    <w:rsid w:val="00A04F49"/>
    <w:rsid w:val="00A05D90"/>
    <w:rsid w:val="00A0771C"/>
    <w:rsid w:val="00A12B83"/>
    <w:rsid w:val="00A12CB5"/>
    <w:rsid w:val="00A13E54"/>
    <w:rsid w:val="00A16582"/>
    <w:rsid w:val="00A16698"/>
    <w:rsid w:val="00A170C3"/>
    <w:rsid w:val="00A17F63"/>
    <w:rsid w:val="00A2193B"/>
    <w:rsid w:val="00A21E79"/>
    <w:rsid w:val="00A2351A"/>
    <w:rsid w:val="00A23F5E"/>
    <w:rsid w:val="00A264A9"/>
    <w:rsid w:val="00A26DCF"/>
    <w:rsid w:val="00A27375"/>
    <w:rsid w:val="00A27785"/>
    <w:rsid w:val="00A2779A"/>
    <w:rsid w:val="00A30187"/>
    <w:rsid w:val="00A318E1"/>
    <w:rsid w:val="00A33591"/>
    <w:rsid w:val="00A33F66"/>
    <w:rsid w:val="00A3448A"/>
    <w:rsid w:val="00A350FC"/>
    <w:rsid w:val="00A352B2"/>
    <w:rsid w:val="00A36297"/>
    <w:rsid w:val="00A36D9C"/>
    <w:rsid w:val="00A4069C"/>
    <w:rsid w:val="00A4098F"/>
    <w:rsid w:val="00A40D0C"/>
    <w:rsid w:val="00A41E2B"/>
    <w:rsid w:val="00A44A08"/>
    <w:rsid w:val="00A45B74"/>
    <w:rsid w:val="00A46ADA"/>
    <w:rsid w:val="00A51667"/>
    <w:rsid w:val="00A52E1D"/>
    <w:rsid w:val="00A53211"/>
    <w:rsid w:val="00A54231"/>
    <w:rsid w:val="00A55417"/>
    <w:rsid w:val="00A56CCC"/>
    <w:rsid w:val="00A56F0F"/>
    <w:rsid w:val="00A57A5A"/>
    <w:rsid w:val="00A61499"/>
    <w:rsid w:val="00A61EAD"/>
    <w:rsid w:val="00A62A77"/>
    <w:rsid w:val="00A63483"/>
    <w:rsid w:val="00A63AFA"/>
    <w:rsid w:val="00A65161"/>
    <w:rsid w:val="00A657D7"/>
    <w:rsid w:val="00A660AC"/>
    <w:rsid w:val="00A669A1"/>
    <w:rsid w:val="00A67846"/>
    <w:rsid w:val="00A67E6C"/>
    <w:rsid w:val="00A71B99"/>
    <w:rsid w:val="00A72D90"/>
    <w:rsid w:val="00A7381E"/>
    <w:rsid w:val="00A739D0"/>
    <w:rsid w:val="00A74828"/>
    <w:rsid w:val="00A761D4"/>
    <w:rsid w:val="00A76C10"/>
    <w:rsid w:val="00A77EC4"/>
    <w:rsid w:val="00A77F6B"/>
    <w:rsid w:val="00A827CF"/>
    <w:rsid w:val="00A82F09"/>
    <w:rsid w:val="00A852C9"/>
    <w:rsid w:val="00A85BB2"/>
    <w:rsid w:val="00A90E0C"/>
    <w:rsid w:val="00A91E79"/>
    <w:rsid w:val="00A92879"/>
    <w:rsid w:val="00A9442A"/>
    <w:rsid w:val="00A94B06"/>
    <w:rsid w:val="00A94FE8"/>
    <w:rsid w:val="00A96160"/>
    <w:rsid w:val="00AA016F"/>
    <w:rsid w:val="00AA1615"/>
    <w:rsid w:val="00AA1ED6"/>
    <w:rsid w:val="00AA2BC8"/>
    <w:rsid w:val="00AA51D6"/>
    <w:rsid w:val="00AA58A9"/>
    <w:rsid w:val="00AA6416"/>
    <w:rsid w:val="00AA73A2"/>
    <w:rsid w:val="00AB0BC8"/>
    <w:rsid w:val="00AB11CA"/>
    <w:rsid w:val="00AB14D9"/>
    <w:rsid w:val="00AB4AB8"/>
    <w:rsid w:val="00AB58FF"/>
    <w:rsid w:val="00AB655E"/>
    <w:rsid w:val="00AC007F"/>
    <w:rsid w:val="00AC083E"/>
    <w:rsid w:val="00AC2CC3"/>
    <w:rsid w:val="00AC2ECD"/>
    <w:rsid w:val="00AC3119"/>
    <w:rsid w:val="00AC49FB"/>
    <w:rsid w:val="00AC5A10"/>
    <w:rsid w:val="00AC64A3"/>
    <w:rsid w:val="00AD01B4"/>
    <w:rsid w:val="00AD0AA3"/>
    <w:rsid w:val="00AD2725"/>
    <w:rsid w:val="00AD3F94"/>
    <w:rsid w:val="00AD4A5A"/>
    <w:rsid w:val="00AD5816"/>
    <w:rsid w:val="00AE27AC"/>
    <w:rsid w:val="00AE2E59"/>
    <w:rsid w:val="00AE37F7"/>
    <w:rsid w:val="00AE40E0"/>
    <w:rsid w:val="00AE4DBA"/>
    <w:rsid w:val="00AE4F07"/>
    <w:rsid w:val="00AE5C6D"/>
    <w:rsid w:val="00AF0D00"/>
    <w:rsid w:val="00AF1C5D"/>
    <w:rsid w:val="00AF428D"/>
    <w:rsid w:val="00AF42D7"/>
    <w:rsid w:val="00AF587F"/>
    <w:rsid w:val="00AF5EB7"/>
    <w:rsid w:val="00AF72BE"/>
    <w:rsid w:val="00AF7DCA"/>
    <w:rsid w:val="00B006FE"/>
    <w:rsid w:val="00B007CB"/>
    <w:rsid w:val="00B022EE"/>
    <w:rsid w:val="00B02AA9"/>
    <w:rsid w:val="00B02FA3"/>
    <w:rsid w:val="00B05084"/>
    <w:rsid w:val="00B066DD"/>
    <w:rsid w:val="00B07DE6"/>
    <w:rsid w:val="00B100AA"/>
    <w:rsid w:val="00B10B00"/>
    <w:rsid w:val="00B11387"/>
    <w:rsid w:val="00B11690"/>
    <w:rsid w:val="00B122D2"/>
    <w:rsid w:val="00B12F4C"/>
    <w:rsid w:val="00B13709"/>
    <w:rsid w:val="00B14944"/>
    <w:rsid w:val="00B14ED2"/>
    <w:rsid w:val="00B157F9"/>
    <w:rsid w:val="00B15904"/>
    <w:rsid w:val="00B178EE"/>
    <w:rsid w:val="00B20256"/>
    <w:rsid w:val="00B20D09"/>
    <w:rsid w:val="00B24D10"/>
    <w:rsid w:val="00B250F8"/>
    <w:rsid w:val="00B25B97"/>
    <w:rsid w:val="00B2763F"/>
    <w:rsid w:val="00B27AAC"/>
    <w:rsid w:val="00B30929"/>
    <w:rsid w:val="00B32519"/>
    <w:rsid w:val="00B3456A"/>
    <w:rsid w:val="00B372AA"/>
    <w:rsid w:val="00B40445"/>
    <w:rsid w:val="00B409E0"/>
    <w:rsid w:val="00B41888"/>
    <w:rsid w:val="00B41DA1"/>
    <w:rsid w:val="00B43211"/>
    <w:rsid w:val="00B45A52"/>
    <w:rsid w:val="00B45BC9"/>
    <w:rsid w:val="00B45EC5"/>
    <w:rsid w:val="00B46175"/>
    <w:rsid w:val="00B46C4E"/>
    <w:rsid w:val="00B526EB"/>
    <w:rsid w:val="00B53A64"/>
    <w:rsid w:val="00B53F57"/>
    <w:rsid w:val="00B548B7"/>
    <w:rsid w:val="00B5556C"/>
    <w:rsid w:val="00B57853"/>
    <w:rsid w:val="00B61ED8"/>
    <w:rsid w:val="00B623B3"/>
    <w:rsid w:val="00B64759"/>
    <w:rsid w:val="00B656E0"/>
    <w:rsid w:val="00B657C6"/>
    <w:rsid w:val="00B664C7"/>
    <w:rsid w:val="00B67A01"/>
    <w:rsid w:val="00B701A3"/>
    <w:rsid w:val="00B712CC"/>
    <w:rsid w:val="00B7143A"/>
    <w:rsid w:val="00B71A50"/>
    <w:rsid w:val="00B724B0"/>
    <w:rsid w:val="00B739F6"/>
    <w:rsid w:val="00B8075C"/>
    <w:rsid w:val="00B8084E"/>
    <w:rsid w:val="00B80F46"/>
    <w:rsid w:val="00B80F5A"/>
    <w:rsid w:val="00B81389"/>
    <w:rsid w:val="00B81A6C"/>
    <w:rsid w:val="00B8284D"/>
    <w:rsid w:val="00B8390A"/>
    <w:rsid w:val="00B84254"/>
    <w:rsid w:val="00B857AF"/>
    <w:rsid w:val="00B85DE5"/>
    <w:rsid w:val="00B86D8F"/>
    <w:rsid w:val="00B8797D"/>
    <w:rsid w:val="00B90F73"/>
    <w:rsid w:val="00B92BF4"/>
    <w:rsid w:val="00B9336E"/>
    <w:rsid w:val="00B93B59"/>
    <w:rsid w:val="00B9406A"/>
    <w:rsid w:val="00B974ED"/>
    <w:rsid w:val="00BA050A"/>
    <w:rsid w:val="00BA08F7"/>
    <w:rsid w:val="00BA2280"/>
    <w:rsid w:val="00BA26C2"/>
    <w:rsid w:val="00BA2A08"/>
    <w:rsid w:val="00BA4258"/>
    <w:rsid w:val="00BA56D2"/>
    <w:rsid w:val="00BA5B15"/>
    <w:rsid w:val="00BA649A"/>
    <w:rsid w:val="00BA76E0"/>
    <w:rsid w:val="00BB0E3B"/>
    <w:rsid w:val="00BB2A25"/>
    <w:rsid w:val="00BB2ED1"/>
    <w:rsid w:val="00BB51E9"/>
    <w:rsid w:val="00BB5BDC"/>
    <w:rsid w:val="00BC00EF"/>
    <w:rsid w:val="00BC09E0"/>
    <w:rsid w:val="00BC0FDC"/>
    <w:rsid w:val="00BC21ED"/>
    <w:rsid w:val="00BC3053"/>
    <w:rsid w:val="00BC39AE"/>
    <w:rsid w:val="00BC4D2E"/>
    <w:rsid w:val="00BC5337"/>
    <w:rsid w:val="00BD0E55"/>
    <w:rsid w:val="00BD48AC"/>
    <w:rsid w:val="00BD5F1A"/>
    <w:rsid w:val="00BE1234"/>
    <w:rsid w:val="00BE1ACB"/>
    <w:rsid w:val="00BE2FA6"/>
    <w:rsid w:val="00BE333F"/>
    <w:rsid w:val="00BE3A0D"/>
    <w:rsid w:val="00BE7350"/>
    <w:rsid w:val="00BE7406"/>
    <w:rsid w:val="00BE7603"/>
    <w:rsid w:val="00BF2B32"/>
    <w:rsid w:val="00BF3279"/>
    <w:rsid w:val="00BF400D"/>
    <w:rsid w:val="00BF74C7"/>
    <w:rsid w:val="00C00EE1"/>
    <w:rsid w:val="00C013FD"/>
    <w:rsid w:val="00C015F1"/>
    <w:rsid w:val="00C01F33"/>
    <w:rsid w:val="00C02B56"/>
    <w:rsid w:val="00C02CC6"/>
    <w:rsid w:val="00C040F7"/>
    <w:rsid w:val="00C044AB"/>
    <w:rsid w:val="00C04B8F"/>
    <w:rsid w:val="00C05706"/>
    <w:rsid w:val="00C07377"/>
    <w:rsid w:val="00C07ECA"/>
    <w:rsid w:val="00C10478"/>
    <w:rsid w:val="00C10E97"/>
    <w:rsid w:val="00C12107"/>
    <w:rsid w:val="00C1317C"/>
    <w:rsid w:val="00C13D98"/>
    <w:rsid w:val="00C1401C"/>
    <w:rsid w:val="00C142D0"/>
    <w:rsid w:val="00C14D4B"/>
    <w:rsid w:val="00C15389"/>
    <w:rsid w:val="00C154BB"/>
    <w:rsid w:val="00C1586B"/>
    <w:rsid w:val="00C17F18"/>
    <w:rsid w:val="00C206B9"/>
    <w:rsid w:val="00C22687"/>
    <w:rsid w:val="00C22726"/>
    <w:rsid w:val="00C23A3C"/>
    <w:rsid w:val="00C246FB"/>
    <w:rsid w:val="00C24C9A"/>
    <w:rsid w:val="00C266D8"/>
    <w:rsid w:val="00C268E6"/>
    <w:rsid w:val="00C26A72"/>
    <w:rsid w:val="00C26B87"/>
    <w:rsid w:val="00C2793C"/>
    <w:rsid w:val="00C279B5"/>
    <w:rsid w:val="00C27C45"/>
    <w:rsid w:val="00C36949"/>
    <w:rsid w:val="00C36D82"/>
    <w:rsid w:val="00C3719D"/>
    <w:rsid w:val="00C37CB2"/>
    <w:rsid w:val="00C463C1"/>
    <w:rsid w:val="00C471A5"/>
    <w:rsid w:val="00C473A5"/>
    <w:rsid w:val="00C47F9B"/>
    <w:rsid w:val="00C51674"/>
    <w:rsid w:val="00C5191F"/>
    <w:rsid w:val="00C525EB"/>
    <w:rsid w:val="00C54995"/>
    <w:rsid w:val="00C54D41"/>
    <w:rsid w:val="00C55008"/>
    <w:rsid w:val="00C56EF6"/>
    <w:rsid w:val="00C60783"/>
    <w:rsid w:val="00C61E24"/>
    <w:rsid w:val="00C64672"/>
    <w:rsid w:val="00C67044"/>
    <w:rsid w:val="00C70697"/>
    <w:rsid w:val="00C71A00"/>
    <w:rsid w:val="00C72093"/>
    <w:rsid w:val="00C72B23"/>
    <w:rsid w:val="00C72EF4"/>
    <w:rsid w:val="00C73F25"/>
    <w:rsid w:val="00C744FE"/>
    <w:rsid w:val="00C74DAA"/>
    <w:rsid w:val="00C75D2F"/>
    <w:rsid w:val="00C767BE"/>
    <w:rsid w:val="00C76E3C"/>
    <w:rsid w:val="00C778AF"/>
    <w:rsid w:val="00C77DA4"/>
    <w:rsid w:val="00C81568"/>
    <w:rsid w:val="00C82A3A"/>
    <w:rsid w:val="00C82C9F"/>
    <w:rsid w:val="00C83C5B"/>
    <w:rsid w:val="00C85CED"/>
    <w:rsid w:val="00C8660F"/>
    <w:rsid w:val="00C876D9"/>
    <w:rsid w:val="00C9027A"/>
    <w:rsid w:val="00C9068E"/>
    <w:rsid w:val="00C91388"/>
    <w:rsid w:val="00C93046"/>
    <w:rsid w:val="00C93337"/>
    <w:rsid w:val="00C93814"/>
    <w:rsid w:val="00C93C4B"/>
    <w:rsid w:val="00C944AB"/>
    <w:rsid w:val="00C95B40"/>
    <w:rsid w:val="00C969D5"/>
    <w:rsid w:val="00C96B16"/>
    <w:rsid w:val="00CA0A9B"/>
    <w:rsid w:val="00CA1ED8"/>
    <w:rsid w:val="00CA2052"/>
    <w:rsid w:val="00CA7585"/>
    <w:rsid w:val="00CB18AC"/>
    <w:rsid w:val="00CB1F63"/>
    <w:rsid w:val="00CB4207"/>
    <w:rsid w:val="00CB4F3F"/>
    <w:rsid w:val="00CB5178"/>
    <w:rsid w:val="00CB7170"/>
    <w:rsid w:val="00CC040E"/>
    <w:rsid w:val="00CC087C"/>
    <w:rsid w:val="00CC111F"/>
    <w:rsid w:val="00CC2011"/>
    <w:rsid w:val="00CC339A"/>
    <w:rsid w:val="00CC3EA0"/>
    <w:rsid w:val="00CC6159"/>
    <w:rsid w:val="00CC6CE7"/>
    <w:rsid w:val="00CC787B"/>
    <w:rsid w:val="00CC7B45"/>
    <w:rsid w:val="00CD1188"/>
    <w:rsid w:val="00CD1353"/>
    <w:rsid w:val="00CD24F3"/>
    <w:rsid w:val="00CD2ED1"/>
    <w:rsid w:val="00CD337B"/>
    <w:rsid w:val="00CD57D5"/>
    <w:rsid w:val="00CD71AD"/>
    <w:rsid w:val="00CD7BEE"/>
    <w:rsid w:val="00CE00BD"/>
    <w:rsid w:val="00CE0424"/>
    <w:rsid w:val="00CE0AD5"/>
    <w:rsid w:val="00CE1033"/>
    <w:rsid w:val="00CE38BE"/>
    <w:rsid w:val="00CE38D2"/>
    <w:rsid w:val="00CE7561"/>
    <w:rsid w:val="00CE797F"/>
    <w:rsid w:val="00CF1354"/>
    <w:rsid w:val="00CF18E9"/>
    <w:rsid w:val="00CF3714"/>
    <w:rsid w:val="00CF3B1F"/>
    <w:rsid w:val="00CF3BF6"/>
    <w:rsid w:val="00CF49D8"/>
    <w:rsid w:val="00CF625B"/>
    <w:rsid w:val="00CF687E"/>
    <w:rsid w:val="00CF6D13"/>
    <w:rsid w:val="00D02DBC"/>
    <w:rsid w:val="00D02F7F"/>
    <w:rsid w:val="00D032AA"/>
    <w:rsid w:val="00D0349B"/>
    <w:rsid w:val="00D05D52"/>
    <w:rsid w:val="00D10249"/>
    <w:rsid w:val="00D1034B"/>
    <w:rsid w:val="00D111AC"/>
    <w:rsid w:val="00D115C3"/>
    <w:rsid w:val="00D11897"/>
    <w:rsid w:val="00D13135"/>
    <w:rsid w:val="00D13E4E"/>
    <w:rsid w:val="00D13F55"/>
    <w:rsid w:val="00D16557"/>
    <w:rsid w:val="00D21BA4"/>
    <w:rsid w:val="00D22082"/>
    <w:rsid w:val="00D239A7"/>
    <w:rsid w:val="00D23B62"/>
    <w:rsid w:val="00D23F47"/>
    <w:rsid w:val="00D24393"/>
    <w:rsid w:val="00D260D0"/>
    <w:rsid w:val="00D27842"/>
    <w:rsid w:val="00D3142A"/>
    <w:rsid w:val="00D36332"/>
    <w:rsid w:val="00D366B0"/>
    <w:rsid w:val="00D36C09"/>
    <w:rsid w:val="00D36E71"/>
    <w:rsid w:val="00D3780C"/>
    <w:rsid w:val="00D3797E"/>
    <w:rsid w:val="00D37D87"/>
    <w:rsid w:val="00D40B33"/>
    <w:rsid w:val="00D42B71"/>
    <w:rsid w:val="00D42E2C"/>
    <w:rsid w:val="00D4318F"/>
    <w:rsid w:val="00D438BF"/>
    <w:rsid w:val="00D440F8"/>
    <w:rsid w:val="00D44D39"/>
    <w:rsid w:val="00D44D78"/>
    <w:rsid w:val="00D51153"/>
    <w:rsid w:val="00D51233"/>
    <w:rsid w:val="00D51B0F"/>
    <w:rsid w:val="00D51E81"/>
    <w:rsid w:val="00D524CA"/>
    <w:rsid w:val="00D52E11"/>
    <w:rsid w:val="00D546FF"/>
    <w:rsid w:val="00D55AD5"/>
    <w:rsid w:val="00D576CA"/>
    <w:rsid w:val="00D6111A"/>
    <w:rsid w:val="00D61AF5"/>
    <w:rsid w:val="00D6235D"/>
    <w:rsid w:val="00D639D3"/>
    <w:rsid w:val="00D64680"/>
    <w:rsid w:val="00D652B5"/>
    <w:rsid w:val="00D65A73"/>
    <w:rsid w:val="00D66155"/>
    <w:rsid w:val="00D708B0"/>
    <w:rsid w:val="00D72D73"/>
    <w:rsid w:val="00D73F62"/>
    <w:rsid w:val="00D74CA2"/>
    <w:rsid w:val="00D7569A"/>
    <w:rsid w:val="00D77B1D"/>
    <w:rsid w:val="00D8021F"/>
    <w:rsid w:val="00D80383"/>
    <w:rsid w:val="00D809A7"/>
    <w:rsid w:val="00D80CC4"/>
    <w:rsid w:val="00D80E0F"/>
    <w:rsid w:val="00D8128A"/>
    <w:rsid w:val="00D81A3E"/>
    <w:rsid w:val="00D81F3E"/>
    <w:rsid w:val="00D823C6"/>
    <w:rsid w:val="00D8327F"/>
    <w:rsid w:val="00D85257"/>
    <w:rsid w:val="00D8618A"/>
    <w:rsid w:val="00D86CA3"/>
    <w:rsid w:val="00D871CE"/>
    <w:rsid w:val="00D91923"/>
    <w:rsid w:val="00D9196D"/>
    <w:rsid w:val="00D92982"/>
    <w:rsid w:val="00D935CF"/>
    <w:rsid w:val="00D94215"/>
    <w:rsid w:val="00D949E9"/>
    <w:rsid w:val="00D94E0B"/>
    <w:rsid w:val="00D9541A"/>
    <w:rsid w:val="00D97CA2"/>
    <w:rsid w:val="00DA1460"/>
    <w:rsid w:val="00DA305E"/>
    <w:rsid w:val="00DA3520"/>
    <w:rsid w:val="00DA3696"/>
    <w:rsid w:val="00DA5417"/>
    <w:rsid w:val="00DA56E8"/>
    <w:rsid w:val="00DA7315"/>
    <w:rsid w:val="00DB0A9F"/>
    <w:rsid w:val="00DB1A64"/>
    <w:rsid w:val="00DB377D"/>
    <w:rsid w:val="00DB43A1"/>
    <w:rsid w:val="00DB4AA0"/>
    <w:rsid w:val="00DC24C9"/>
    <w:rsid w:val="00DC2785"/>
    <w:rsid w:val="00DC2D36"/>
    <w:rsid w:val="00DC4331"/>
    <w:rsid w:val="00DC46C8"/>
    <w:rsid w:val="00DC53EF"/>
    <w:rsid w:val="00DD20F9"/>
    <w:rsid w:val="00DD375F"/>
    <w:rsid w:val="00DD3C95"/>
    <w:rsid w:val="00DD60BF"/>
    <w:rsid w:val="00DE45C8"/>
    <w:rsid w:val="00DE4E9E"/>
    <w:rsid w:val="00DE539E"/>
    <w:rsid w:val="00DE5608"/>
    <w:rsid w:val="00DE58D0"/>
    <w:rsid w:val="00DE5F87"/>
    <w:rsid w:val="00DE6315"/>
    <w:rsid w:val="00DE654F"/>
    <w:rsid w:val="00DE6AFA"/>
    <w:rsid w:val="00DE6D30"/>
    <w:rsid w:val="00DE7ED1"/>
    <w:rsid w:val="00DF0B6E"/>
    <w:rsid w:val="00DF15E0"/>
    <w:rsid w:val="00DF358E"/>
    <w:rsid w:val="00DF37A0"/>
    <w:rsid w:val="00DF71D6"/>
    <w:rsid w:val="00E00585"/>
    <w:rsid w:val="00E0332F"/>
    <w:rsid w:val="00E03378"/>
    <w:rsid w:val="00E04EFA"/>
    <w:rsid w:val="00E06072"/>
    <w:rsid w:val="00E06E1C"/>
    <w:rsid w:val="00E07F6B"/>
    <w:rsid w:val="00E110E7"/>
    <w:rsid w:val="00E1142B"/>
    <w:rsid w:val="00E11B20"/>
    <w:rsid w:val="00E12F84"/>
    <w:rsid w:val="00E1553C"/>
    <w:rsid w:val="00E15ACB"/>
    <w:rsid w:val="00E15E18"/>
    <w:rsid w:val="00E176A8"/>
    <w:rsid w:val="00E17FA2"/>
    <w:rsid w:val="00E20268"/>
    <w:rsid w:val="00E20D9A"/>
    <w:rsid w:val="00E20EF0"/>
    <w:rsid w:val="00E22330"/>
    <w:rsid w:val="00E22AF9"/>
    <w:rsid w:val="00E2647B"/>
    <w:rsid w:val="00E26743"/>
    <w:rsid w:val="00E27D50"/>
    <w:rsid w:val="00E30039"/>
    <w:rsid w:val="00E30B5A"/>
    <w:rsid w:val="00E3123D"/>
    <w:rsid w:val="00E31461"/>
    <w:rsid w:val="00E31D43"/>
    <w:rsid w:val="00E32608"/>
    <w:rsid w:val="00E331AA"/>
    <w:rsid w:val="00E34188"/>
    <w:rsid w:val="00E34B6E"/>
    <w:rsid w:val="00E35559"/>
    <w:rsid w:val="00E35C65"/>
    <w:rsid w:val="00E3708A"/>
    <w:rsid w:val="00E3723A"/>
    <w:rsid w:val="00E37734"/>
    <w:rsid w:val="00E37860"/>
    <w:rsid w:val="00E37C00"/>
    <w:rsid w:val="00E40D1A"/>
    <w:rsid w:val="00E42DA3"/>
    <w:rsid w:val="00E446F1"/>
    <w:rsid w:val="00E46886"/>
    <w:rsid w:val="00E47AD6"/>
    <w:rsid w:val="00E47AEF"/>
    <w:rsid w:val="00E50082"/>
    <w:rsid w:val="00E53B75"/>
    <w:rsid w:val="00E54E3B"/>
    <w:rsid w:val="00E55783"/>
    <w:rsid w:val="00E558B8"/>
    <w:rsid w:val="00E57565"/>
    <w:rsid w:val="00E63838"/>
    <w:rsid w:val="00E64434"/>
    <w:rsid w:val="00E65150"/>
    <w:rsid w:val="00E65C0D"/>
    <w:rsid w:val="00E66A07"/>
    <w:rsid w:val="00E66C64"/>
    <w:rsid w:val="00E679E5"/>
    <w:rsid w:val="00E67C51"/>
    <w:rsid w:val="00E713C0"/>
    <w:rsid w:val="00E71D57"/>
    <w:rsid w:val="00E72EFC"/>
    <w:rsid w:val="00E73898"/>
    <w:rsid w:val="00E73D7B"/>
    <w:rsid w:val="00E758EC"/>
    <w:rsid w:val="00E80434"/>
    <w:rsid w:val="00E8153F"/>
    <w:rsid w:val="00E8234C"/>
    <w:rsid w:val="00E830CB"/>
    <w:rsid w:val="00E833BE"/>
    <w:rsid w:val="00E83AA9"/>
    <w:rsid w:val="00E85869"/>
    <w:rsid w:val="00E85928"/>
    <w:rsid w:val="00E86039"/>
    <w:rsid w:val="00E87822"/>
    <w:rsid w:val="00E87973"/>
    <w:rsid w:val="00E90395"/>
    <w:rsid w:val="00E90E49"/>
    <w:rsid w:val="00E917F9"/>
    <w:rsid w:val="00E92716"/>
    <w:rsid w:val="00E9291C"/>
    <w:rsid w:val="00E93569"/>
    <w:rsid w:val="00E93D9D"/>
    <w:rsid w:val="00E93FFE"/>
    <w:rsid w:val="00E94F8A"/>
    <w:rsid w:val="00E95ADC"/>
    <w:rsid w:val="00E965D6"/>
    <w:rsid w:val="00E96CE4"/>
    <w:rsid w:val="00EA34FC"/>
    <w:rsid w:val="00EA4E07"/>
    <w:rsid w:val="00EA7A41"/>
    <w:rsid w:val="00EB077B"/>
    <w:rsid w:val="00EB0A6E"/>
    <w:rsid w:val="00EB0E87"/>
    <w:rsid w:val="00EB2905"/>
    <w:rsid w:val="00EB4EA2"/>
    <w:rsid w:val="00EB55C6"/>
    <w:rsid w:val="00EC13EF"/>
    <w:rsid w:val="00EC24D5"/>
    <w:rsid w:val="00EC27C6"/>
    <w:rsid w:val="00EC41F5"/>
    <w:rsid w:val="00EC4207"/>
    <w:rsid w:val="00EC5653"/>
    <w:rsid w:val="00EC5A05"/>
    <w:rsid w:val="00EC5F39"/>
    <w:rsid w:val="00EC62D2"/>
    <w:rsid w:val="00EC6831"/>
    <w:rsid w:val="00EC6975"/>
    <w:rsid w:val="00EC71CE"/>
    <w:rsid w:val="00ED1006"/>
    <w:rsid w:val="00ED2AF9"/>
    <w:rsid w:val="00ED3537"/>
    <w:rsid w:val="00ED3CFE"/>
    <w:rsid w:val="00ED4699"/>
    <w:rsid w:val="00ED6956"/>
    <w:rsid w:val="00ED6B76"/>
    <w:rsid w:val="00ED7B72"/>
    <w:rsid w:val="00EE4B8C"/>
    <w:rsid w:val="00EE4DD1"/>
    <w:rsid w:val="00EE66C3"/>
    <w:rsid w:val="00EF0051"/>
    <w:rsid w:val="00EF18FE"/>
    <w:rsid w:val="00EF4545"/>
    <w:rsid w:val="00EF5787"/>
    <w:rsid w:val="00EF5E50"/>
    <w:rsid w:val="00EF60D0"/>
    <w:rsid w:val="00EF6156"/>
    <w:rsid w:val="00F01C20"/>
    <w:rsid w:val="00F04458"/>
    <w:rsid w:val="00F04DA2"/>
    <w:rsid w:val="00F0528D"/>
    <w:rsid w:val="00F05724"/>
    <w:rsid w:val="00F05F50"/>
    <w:rsid w:val="00F06C67"/>
    <w:rsid w:val="00F06DFD"/>
    <w:rsid w:val="00F071D1"/>
    <w:rsid w:val="00F07533"/>
    <w:rsid w:val="00F10629"/>
    <w:rsid w:val="00F11A67"/>
    <w:rsid w:val="00F14E0E"/>
    <w:rsid w:val="00F15FA5"/>
    <w:rsid w:val="00F200EA"/>
    <w:rsid w:val="00F209B7"/>
    <w:rsid w:val="00F20F5C"/>
    <w:rsid w:val="00F21600"/>
    <w:rsid w:val="00F2376F"/>
    <w:rsid w:val="00F243D8"/>
    <w:rsid w:val="00F24AB0"/>
    <w:rsid w:val="00F24AC2"/>
    <w:rsid w:val="00F253BD"/>
    <w:rsid w:val="00F26706"/>
    <w:rsid w:val="00F30828"/>
    <w:rsid w:val="00F30AD0"/>
    <w:rsid w:val="00F313D6"/>
    <w:rsid w:val="00F31C0B"/>
    <w:rsid w:val="00F350AD"/>
    <w:rsid w:val="00F378F4"/>
    <w:rsid w:val="00F40F0C"/>
    <w:rsid w:val="00F44535"/>
    <w:rsid w:val="00F4766C"/>
    <w:rsid w:val="00F47D19"/>
    <w:rsid w:val="00F5060E"/>
    <w:rsid w:val="00F507D1"/>
    <w:rsid w:val="00F519CE"/>
    <w:rsid w:val="00F51ADA"/>
    <w:rsid w:val="00F522D4"/>
    <w:rsid w:val="00F539BA"/>
    <w:rsid w:val="00F545E9"/>
    <w:rsid w:val="00F54A86"/>
    <w:rsid w:val="00F54B46"/>
    <w:rsid w:val="00F5647C"/>
    <w:rsid w:val="00F579A9"/>
    <w:rsid w:val="00F60203"/>
    <w:rsid w:val="00F607C5"/>
    <w:rsid w:val="00F60DEA"/>
    <w:rsid w:val="00F6302A"/>
    <w:rsid w:val="00F631DC"/>
    <w:rsid w:val="00F63950"/>
    <w:rsid w:val="00F64C2B"/>
    <w:rsid w:val="00F651BE"/>
    <w:rsid w:val="00F67F53"/>
    <w:rsid w:val="00F703BE"/>
    <w:rsid w:val="00F7056B"/>
    <w:rsid w:val="00F71F69"/>
    <w:rsid w:val="00F72B72"/>
    <w:rsid w:val="00F734A7"/>
    <w:rsid w:val="00F74BB9"/>
    <w:rsid w:val="00F75202"/>
    <w:rsid w:val="00F75448"/>
    <w:rsid w:val="00F75582"/>
    <w:rsid w:val="00F75B01"/>
    <w:rsid w:val="00F76EFA"/>
    <w:rsid w:val="00F7701B"/>
    <w:rsid w:val="00F804BE"/>
    <w:rsid w:val="00F817CE"/>
    <w:rsid w:val="00F8456C"/>
    <w:rsid w:val="00F84E3C"/>
    <w:rsid w:val="00F84F90"/>
    <w:rsid w:val="00F859D8"/>
    <w:rsid w:val="00F868F5"/>
    <w:rsid w:val="00F9034B"/>
    <w:rsid w:val="00F9056A"/>
    <w:rsid w:val="00F90EEC"/>
    <w:rsid w:val="00F90F8D"/>
    <w:rsid w:val="00F91908"/>
    <w:rsid w:val="00F92782"/>
    <w:rsid w:val="00F93AA9"/>
    <w:rsid w:val="00F94140"/>
    <w:rsid w:val="00F94FF3"/>
    <w:rsid w:val="00F9691A"/>
    <w:rsid w:val="00F96985"/>
    <w:rsid w:val="00F977A0"/>
    <w:rsid w:val="00F97838"/>
    <w:rsid w:val="00FA02DF"/>
    <w:rsid w:val="00FA196B"/>
    <w:rsid w:val="00FA2BB3"/>
    <w:rsid w:val="00FA495A"/>
    <w:rsid w:val="00FA650D"/>
    <w:rsid w:val="00FA6ABE"/>
    <w:rsid w:val="00FA6C49"/>
    <w:rsid w:val="00FB21BE"/>
    <w:rsid w:val="00FB3DEB"/>
    <w:rsid w:val="00FB3E06"/>
    <w:rsid w:val="00FB428A"/>
    <w:rsid w:val="00FB4C80"/>
    <w:rsid w:val="00FB52A2"/>
    <w:rsid w:val="00FB5569"/>
    <w:rsid w:val="00FB6A6A"/>
    <w:rsid w:val="00FB70F9"/>
    <w:rsid w:val="00FC0265"/>
    <w:rsid w:val="00FC14F7"/>
    <w:rsid w:val="00FC17DB"/>
    <w:rsid w:val="00FC3390"/>
    <w:rsid w:val="00FC5B18"/>
    <w:rsid w:val="00FC664B"/>
    <w:rsid w:val="00FC7429"/>
    <w:rsid w:val="00FD0034"/>
    <w:rsid w:val="00FD07F6"/>
    <w:rsid w:val="00FD1955"/>
    <w:rsid w:val="00FD1EC8"/>
    <w:rsid w:val="00FD2FDA"/>
    <w:rsid w:val="00FD457F"/>
    <w:rsid w:val="00FD47ED"/>
    <w:rsid w:val="00FD482F"/>
    <w:rsid w:val="00FD5B51"/>
    <w:rsid w:val="00FD74DB"/>
    <w:rsid w:val="00FD7660"/>
    <w:rsid w:val="00FE0655"/>
    <w:rsid w:val="00FE1D79"/>
    <w:rsid w:val="00FE2328"/>
    <w:rsid w:val="00FE2365"/>
    <w:rsid w:val="00FE37D7"/>
    <w:rsid w:val="00FE4C7B"/>
    <w:rsid w:val="00FE7336"/>
    <w:rsid w:val="00FE787C"/>
    <w:rsid w:val="00FF211F"/>
    <w:rsid w:val="00FF32EB"/>
    <w:rsid w:val="00FF3BAF"/>
    <w:rsid w:val="00FF45A5"/>
    <w:rsid w:val="00FF4609"/>
    <w:rsid w:val="00FF5247"/>
    <w:rsid w:val="00FF5C91"/>
    <w:rsid w:val="00FF738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2309A"/>
  <w15:chartTrackingRefBased/>
  <w15:docId w15:val="{0D856DA8-8F8B-4CE2-A0BE-BA8C763B5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rsid w:val="004D0C99"/>
    <w:pPr>
      <w:overflowPunct/>
      <w:autoSpaceDE/>
      <w:autoSpaceDN/>
      <w:adjustRightInd/>
      <w:spacing w:before="150" w:after="0"/>
      <w:textAlignment w:val="auto"/>
    </w:pPr>
    <w:rPr>
      <w:sz w:val="24"/>
      <w:szCs w:val="24"/>
      <w:lang w:val="sv-SE" w:eastAsia="sv-SE"/>
    </w:rPr>
  </w:style>
  <w:style w:type="character" w:customStyle="1" w:styleId="NOZchn">
    <w:name w:val="NO Zchn"/>
    <w:locked/>
    <w:rsid w:val="00D97CA2"/>
    <w:rPr>
      <w:lang w:val="x-none" w:eastAsia="en-US"/>
    </w:rPr>
  </w:style>
  <w:style w:type="character" w:customStyle="1" w:styleId="CommentsChar">
    <w:name w:val="Comments Char"/>
    <w:link w:val="Comments"/>
    <w:qFormat/>
    <w:locked/>
    <w:rsid w:val="00563701"/>
    <w:rPr>
      <w:rFonts w:ascii="Arial" w:eastAsia="MS Mincho" w:hAnsi="Arial" w:cs="Arial"/>
      <w:i/>
      <w:noProof/>
      <w:sz w:val="18"/>
      <w:szCs w:val="24"/>
    </w:rPr>
  </w:style>
  <w:style w:type="paragraph" w:customStyle="1" w:styleId="Comments">
    <w:name w:val="Comments"/>
    <w:basedOn w:val="Normal"/>
    <w:link w:val="CommentsChar"/>
    <w:qFormat/>
    <w:rsid w:val="00563701"/>
    <w:pPr>
      <w:overflowPunct/>
      <w:autoSpaceDE/>
      <w:autoSpaceDN/>
      <w:adjustRightInd/>
      <w:spacing w:before="40" w:after="0"/>
      <w:textAlignment w:val="auto"/>
    </w:pPr>
    <w:rPr>
      <w:rFonts w:ascii="Arial" w:eastAsia="MS Mincho" w:hAnsi="Arial" w:cs="Arial"/>
      <w:i/>
      <w:noProof/>
      <w:sz w:val="18"/>
      <w:szCs w:val="24"/>
      <w:lang w:eastAsia="en-GB"/>
    </w:rPr>
  </w:style>
  <w:style w:type="character" w:customStyle="1" w:styleId="B1Char">
    <w:name w:val="B1 Char"/>
    <w:qFormat/>
    <w:rsid w:val="00B15904"/>
    <w:rPr>
      <w:lang w:val="en-GB"/>
    </w:rPr>
  </w:style>
  <w:style w:type="character" w:customStyle="1" w:styleId="EmailDiscussionChar">
    <w:name w:val="EmailDiscussion Char"/>
    <w:link w:val="EmailDiscussion"/>
    <w:rsid w:val="009F1340"/>
    <w:rPr>
      <w:rFonts w:ascii="Arial" w:eastAsia="MS Mincho" w:hAnsi="Arial"/>
      <w:b/>
      <w:szCs w:val="24"/>
    </w:rPr>
  </w:style>
  <w:style w:type="paragraph" w:customStyle="1" w:styleId="EmailDiscussion2">
    <w:name w:val="EmailDiscussion2"/>
    <w:basedOn w:val="Doc-text2"/>
    <w:qFormat/>
    <w:rsid w:val="009F1340"/>
    <w:pPr>
      <w:ind w:left="1710" w:firstLine="0"/>
    </w:pPr>
    <w:rPr>
      <w:rFonts w:eastAsia="Times New Roman"/>
      <w:szCs w:val="20"/>
      <w:lang w:val="en-GB" w:eastAsia="ja-JP"/>
    </w:rPr>
  </w:style>
  <w:style w:type="paragraph" w:styleId="EndnoteText">
    <w:name w:val="endnote text"/>
    <w:basedOn w:val="Normal"/>
    <w:link w:val="EndnoteTextChar"/>
    <w:rsid w:val="009F1340"/>
    <w:pPr>
      <w:spacing w:after="0"/>
    </w:pPr>
    <w:rPr>
      <w:rFonts w:eastAsia="Malgun Gothic"/>
      <w:lang w:eastAsia="en-US"/>
    </w:rPr>
  </w:style>
  <w:style w:type="character" w:customStyle="1" w:styleId="EndnoteTextChar">
    <w:name w:val="Endnote Text Char"/>
    <w:basedOn w:val="DefaultParagraphFont"/>
    <w:link w:val="EndnoteText"/>
    <w:rsid w:val="009F1340"/>
    <w:rPr>
      <w:rFonts w:ascii="Times New Roman" w:eastAsia="Malgun Gothic" w:hAnsi="Times New Roman"/>
      <w:lang w:eastAsia="en-US"/>
    </w:rPr>
  </w:style>
  <w:style w:type="character" w:customStyle="1" w:styleId="B1Zchn">
    <w:name w:val="B1 Zchn"/>
    <w:rsid w:val="0023744D"/>
  </w:style>
  <w:style w:type="paragraph" w:customStyle="1" w:styleId="Note-Boxed">
    <w:name w:val="Note - Boxed"/>
    <w:basedOn w:val="Normal"/>
    <w:next w:val="Normal"/>
    <w:rsid w:val="007A61F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255276">
      <w:bodyDiv w:val="1"/>
      <w:marLeft w:val="0"/>
      <w:marRight w:val="0"/>
      <w:marTop w:val="0"/>
      <w:marBottom w:val="0"/>
      <w:divBdr>
        <w:top w:val="none" w:sz="0" w:space="0" w:color="auto"/>
        <w:left w:val="none" w:sz="0" w:space="0" w:color="auto"/>
        <w:bottom w:val="none" w:sz="0" w:space="0" w:color="auto"/>
        <w:right w:val="none" w:sz="0" w:space="0" w:color="auto"/>
      </w:divBdr>
    </w:div>
    <w:div w:id="90201774">
      <w:bodyDiv w:val="1"/>
      <w:marLeft w:val="0"/>
      <w:marRight w:val="0"/>
      <w:marTop w:val="0"/>
      <w:marBottom w:val="0"/>
      <w:divBdr>
        <w:top w:val="none" w:sz="0" w:space="0" w:color="auto"/>
        <w:left w:val="none" w:sz="0" w:space="0" w:color="auto"/>
        <w:bottom w:val="none" w:sz="0" w:space="0" w:color="auto"/>
        <w:right w:val="none" w:sz="0" w:space="0" w:color="auto"/>
      </w:divBdr>
      <w:divsChild>
        <w:div w:id="1718120676">
          <w:marLeft w:val="0"/>
          <w:marRight w:val="0"/>
          <w:marTop w:val="0"/>
          <w:marBottom w:val="0"/>
          <w:divBdr>
            <w:top w:val="none" w:sz="0" w:space="0" w:color="auto"/>
            <w:left w:val="none" w:sz="0" w:space="0" w:color="auto"/>
            <w:bottom w:val="none" w:sz="0" w:space="0" w:color="auto"/>
            <w:right w:val="none" w:sz="0" w:space="0" w:color="auto"/>
          </w:divBdr>
          <w:divsChild>
            <w:div w:id="1671252399">
              <w:marLeft w:val="0"/>
              <w:marRight w:val="0"/>
              <w:marTop w:val="0"/>
              <w:marBottom w:val="0"/>
              <w:divBdr>
                <w:top w:val="none" w:sz="0" w:space="0" w:color="auto"/>
                <w:left w:val="none" w:sz="0" w:space="0" w:color="auto"/>
                <w:bottom w:val="none" w:sz="0" w:space="0" w:color="auto"/>
                <w:right w:val="none" w:sz="0" w:space="0" w:color="auto"/>
              </w:divBdr>
              <w:divsChild>
                <w:div w:id="1359744550">
                  <w:marLeft w:val="0"/>
                  <w:marRight w:val="0"/>
                  <w:marTop w:val="0"/>
                  <w:marBottom w:val="0"/>
                  <w:divBdr>
                    <w:top w:val="none" w:sz="0" w:space="0" w:color="auto"/>
                    <w:left w:val="none" w:sz="0" w:space="0" w:color="auto"/>
                    <w:bottom w:val="none" w:sz="0" w:space="0" w:color="auto"/>
                    <w:right w:val="none" w:sz="0" w:space="0" w:color="auto"/>
                  </w:divBdr>
                  <w:divsChild>
                    <w:div w:id="598224688">
                      <w:marLeft w:val="0"/>
                      <w:marRight w:val="0"/>
                      <w:marTop w:val="0"/>
                      <w:marBottom w:val="0"/>
                      <w:divBdr>
                        <w:top w:val="none" w:sz="0" w:space="0" w:color="auto"/>
                        <w:left w:val="none" w:sz="0" w:space="0" w:color="auto"/>
                        <w:bottom w:val="none" w:sz="0" w:space="0" w:color="auto"/>
                        <w:right w:val="none" w:sz="0" w:space="0" w:color="auto"/>
                      </w:divBdr>
                      <w:divsChild>
                        <w:div w:id="990645740">
                          <w:marLeft w:val="0"/>
                          <w:marRight w:val="0"/>
                          <w:marTop w:val="0"/>
                          <w:marBottom w:val="0"/>
                          <w:divBdr>
                            <w:top w:val="none" w:sz="0" w:space="0" w:color="auto"/>
                            <w:left w:val="none" w:sz="0" w:space="0" w:color="auto"/>
                            <w:bottom w:val="none" w:sz="0" w:space="0" w:color="auto"/>
                            <w:right w:val="none" w:sz="0" w:space="0" w:color="auto"/>
                          </w:divBdr>
                          <w:divsChild>
                            <w:div w:id="239409709">
                              <w:marLeft w:val="0"/>
                              <w:marRight w:val="0"/>
                              <w:marTop w:val="0"/>
                              <w:marBottom w:val="0"/>
                              <w:divBdr>
                                <w:top w:val="none" w:sz="0" w:space="0" w:color="auto"/>
                                <w:left w:val="none" w:sz="0" w:space="0" w:color="auto"/>
                                <w:bottom w:val="none" w:sz="0" w:space="0" w:color="auto"/>
                                <w:right w:val="none" w:sz="0" w:space="0" w:color="auto"/>
                              </w:divBdr>
                              <w:divsChild>
                                <w:div w:id="1266763321">
                                  <w:marLeft w:val="0"/>
                                  <w:marRight w:val="0"/>
                                  <w:marTop w:val="0"/>
                                  <w:marBottom w:val="0"/>
                                  <w:divBdr>
                                    <w:top w:val="none" w:sz="0" w:space="0" w:color="auto"/>
                                    <w:left w:val="none" w:sz="0" w:space="0" w:color="auto"/>
                                    <w:bottom w:val="none" w:sz="0" w:space="0" w:color="auto"/>
                                    <w:right w:val="none" w:sz="0" w:space="0" w:color="auto"/>
                                  </w:divBdr>
                                  <w:divsChild>
                                    <w:div w:id="785122766">
                                      <w:marLeft w:val="0"/>
                                      <w:marRight w:val="0"/>
                                      <w:marTop w:val="0"/>
                                      <w:marBottom w:val="0"/>
                                      <w:divBdr>
                                        <w:top w:val="none" w:sz="0" w:space="0" w:color="auto"/>
                                        <w:left w:val="none" w:sz="0" w:space="0" w:color="auto"/>
                                        <w:bottom w:val="none" w:sz="0" w:space="0" w:color="auto"/>
                                        <w:right w:val="none" w:sz="0" w:space="0" w:color="auto"/>
                                      </w:divBdr>
                                      <w:divsChild>
                                        <w:div w:id="1090202294">
                                          <w:marLeft w:val="0"/>
                                          <w:marRight w:val="0"/>
                                          <w:marTop w:val="0"/>
                                          <w:marBottom w:val="0"/>
                                          <w:divBdr>
                                            <w:top w:val="none" w:sz="0" w:space="0" w:color="auto"/>
                                            <w:left w:val="none" w:sz="0" w:space="0" w:color="auto"/>
                                            <w:bottom w:val="none" w:sz="0" w:space="0" w:color="auto"/>
                                            <w:right w:val="none" w:sz="0" w:space="0" w:color="auto"/>
                                          </w:divBdr>
                                          <w:divsChild>
                                            <w:div w:id="92744775">
                                              <w:marLeft w:val="0"/>
                                              <w:marRight w:val="0"/>
                                              <w:marTop w:val="0"/>
                                              <w:marBottom w:val="0"/>
                                              <w:divBdr>
                                                <w:top w:val="none" w:sz="0" w:space="0" w:color="auto"/>
                                                <w:left w:val="none" w:sz="0" w:space="0" w:color="auto"/>
                                                <w:bottom w:val="none" w:sz="0" w:space="0" w:color="auto"/>
                                                <w:right w:val="none" w:sz="0" w:space="0" w:color="auto"/>
                                              </w:divBdr>
                                              <w:divsChild>
                                                <w:div w:id="348530881">
                                                  <w:marLeft w:val="0"/>
                                                  <w:marRight w:val="0"/>
                                                  <w:marTop w:val="0"/>
                                                  <w:marBottom w:val="0"/>
                                                  <w:divBdr>
                                                    <w:top w:val="none" w:sz="0" w:space="0" w:color="auto"/>
                                                    <w:left w:val="none" w:sz="0" w:space="0" w:color="auto"/>
                                                    <w:bottom w:val="none" w:sz="0" w:space="0" w:color="auto"/>
                                                    <w:right w:val="none" w:sz="0" w:space="0" w:color="auto"/>
                                                  </w:divBdr>
                                                  <w:divsChild>
                                                    <w:div w:id="218707051">
                                                      <w:marLeft w:val="0"/>
                                                      <w:marRight w:val="0"/>
                                                      <w:marTop w:val="0"/>
                                                      <w:marBottom w:val="0"/>
                                                      <w:divBdr>
                                                        <w:top w:val="none" w:sz="0" w:space="0" w:color="auto"/>
                                                        <w:left w:val="none" w:sz="0" w:space="0" w:color="auto"/>
                                                        <w:bottom w:val="none" w:sz="0" w:space="0" w:color="auto"/>
                                                        <w:right w:val="none" w:sz="0" w:space="0" w:color="auto"/>
                                                      </w:divBdr>
                                                      <w:divsChild>
                                                        <w:div w:id="443882975">
                                                          <w:marLeft w:val="0"/>
                                                          <w:marRight w:val="0"/>
                                                          <w:marTop w:val="0"/>
                                                          <w:marBottom w:val="0"/>
                                                          <w:divBdr>
                                                            <w:top w:val="none" w:sz="0" w:space="0" w:color="auto"/>
                                                            <w:left w:val="none" w:sz="0" w:space="0" w:color="auto"/>
                                                            <w:bottom w:val="none" w:sz="0" w:space="0" w:color="auto"/>
                                                            <w:right w:val="none" w:sz="0" w:space="0" w:color="auto"/>
                                                          </w:divBdr>
                                                          <w:divsChild>
                                                            <w:div w:id="1930966340">
                                                              <w:marLeft w:val="0"/>
                                                              <w:marRight w:val="0"/>
                                                              <w:marTop w:val="0"/>
                                                              <w:marBottom w:val="0"/>
                                                              <w:divBdr>
                                                                <w:top w:val="none" w:sz="0" w:space="0" w:color="auto"/>
                                                                <w:left w:val="none" w:sz="0" w:space="0" w:color="auto"/>
                                                                <w:bottom w:val="none" w:sz="0" w:space="0" w:color="auto"/>
                                                                <w:right w:val="none" w:sz="0" w:space="0" w:color="auto"/>
                                                              </w:divBdr>
                                                              <w:divsChild>
                                                                <w:div w:id="11904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4760500">
      <w:bodyDiv w:val="1"/>
      <w:marLeft w:val="15"/>
      <w:marRight w:val="15"/>
      <w:marTop w:val="120"/>
      <w:marBottom w:val="120"/>
      <w:divBdr>
        <w:top w:val="none" w:sz="0" w:space="0" w:color="auto"/>
        <w:left w:val="none" w:sz="0" w:space="0" w:color="auto"/>
        <w:bottom w:val="none" w:sz="0" w:space="0" w:color="auto"/>
        <w:right w:val="none" w:sz="0" w:space="0" w:color="auto"/>
      </w:divBdr>
      <w:divsChild>
        <w:div w:id="2056005508">
          <w:marLeft w:val="0"/>
          <w:marRight w:val="0"/>
          <w:marTop w:val="0"/>
          <w:marBottom w:val="0"/>
          <w:divBdr>
            <w:top w:val="none" w:sz="0" w:space="0" w:color="auto"/>
            <w:left w:val="none" w:sz="0" w:space="0" w:color="auto"/>
            <w:bottom w:val="none" w:sz="0" w:space="0" w:color="auto"/>
            <w:right w:val="none" w:sz="0" w:space="0" w:color="auto"/>
          </w:divBdr>
          <w:divsChild>
            <w:div w:id="1835489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94086">
      <w:bodyDiv w:val="1"/>
      <w:marLeft w:val="0"/>
      <w:marRight w:val="0"/>
      <w:marTop w:val="0"/>
      <w:marBottom w:val="0"/>
      <w:divBdr>
        <w:top w:val="none" w:sz="0" w:space="0" w:color="auto"/>
        <w:left w:val="none" w:sz="0" w:space="0" w:color="auto"/>
        <w:bottom w:val="none" w:sz="0" w:space="0" w:color="auto"/>
        <w:right w:val="none" w:sz="0" w:space="0" w:color="auto"/>
      </w:divBdr>
    </w:div>
    <w:div w:id="236786620">
      <w:bodyDiv w:val="1"/>
      <w:marLeft w:val="0"/>
      <w:marRight w:val="0"/>
      <w:marTop w:val="0"/>
      <w:marBottom w:val="0"/>
      <w:divBdr>
        <w:top w:val="none" w:sz="0" w:space="0" w:color="auto"/>
        <w:left w:val="none" w:sz="0" w:space="0" w:color="auto"/>
        <w:bottom w:val="none" w:sz="0" w:space="0" w:color="auto"/>
        <w:right w:val="none" w:sz="0" w:space="0" w:color="auto"/>
      </w:divBdr>
    </w:div>
    <w:div w:id="427702942">
      <w:bodyDiv w:val="1"/>
      <w:marLeft w:val="0"/>
      <w:marRight w:val="0"/>
      <w:marTop w:val="0"/>
      <w:marBottom w:val="0"/>
      <w:divBdr>
        <w:top w:val="none" w:sz="0" w:space="0" w:color="auto"/>
        <w:left w:val="none" w:sz="0" w:space="0" w:color="auto"/>
        <w:bottom w:val="none" w:sz="0" w:space="0" w:color="auto"/>
        <w:right w:val="none" w:sz="0" w:space="0" w:color="auto"/>
      </w:divBdr>
    </w:div>
    <w:div w:id="476798040">
      <w:bodyDiv w:val="1"/>
      <w:marLeft w:val="0"/>
      <w:marRight w:val="0"/>
      <w:marTop w:val="0"/>
      <w:marBottom w:val="0"/>
      <w:divBdr>
        <w:top w:val="none" w:sz="0" w:space="0" w:color="auto"/>
        <w:left w:val="none" w:sz="0" w:space="0" w:color="auto"/>
        <w:bottom w:val="none" w:sz="0" w:space="0" w:color="auto"/>
        <w:right w:val="none" w:sz="0" w:space="0" w:color="auto"/>
      </w:divBdr>
    </w:div>
    <w:div w:id="536087541">
      <w:bodyDiv w:val="1"/>
      <w:marLeft w:val="0"/>
      <w:marRight w:val="0"/>
      <w:marTop w:val="0"/>
      <w:marBottom w:val="0"/>
      <w:divBdr>
        <w:top w:val="none" w:sz="0" w:space="0" w:color="auto"/>
        <w:left w:val="none" w:sz="0" w:space="0" w:color="auto"/>
        <w:bottom w:val="none" w:sz="0" w:space="0" w:color="auto"/>
        <w:right w:val="none" w:sz="0" w:space="0" w:color="auto"/>
      </w:divBdr>
    </w:div>
    <w:div w:id="627131256">
      <w:bodyDiv w:val="1"/>
      <w:marLeft w:val="0"/>
      <w:marRight w:val="0"/>
      <w:marTop w:val="0"/>
      <w:marBottom w:val="0"/>
      <w:divBdr>
        <w:top w:val="none" w:sz="0" w:space="0" w:color="auto"/>
        <w:left w:val="none" w:sz="0" w:space="0" w:color="auto"/>
        <w:bottom w:val="none" w:sz="0" w:space="0" w:color="auto"/>
        <w:right w:val="none" w:sz="0" w:space="0" w:color="auto"/>
      </w:divBdr>
    </w:div>
    <w:div w:id="658315454">
      <w:bodyDiv w:val="1"/>
      <w:marLeft w:val="0"/>
      <w:marRight w:val="0"/>
      <w:marTop w:val="0"/>
      <w:marBottom w:val="0"/>
      <w:divBdr>
        <w:top w:val="none" w:sz="0" w:space="0" w:color="auto"/>
        <w:left w:val="none" w:sz="0" w:space="0" w:color="auto"/>
        <w:bottom w:val="none" w:sz="0" w:space="0" w:color="auto"/>
        <w:right w:val="none" w:sz="0" w:space="0" w:color="auto"/>
      </w:divBdr>
    </w:div>
    <w:div w:id="670178563">
      <w:bodyDiv w:val="1"/>
      <w:marLeft w:val="0"/>
      <w:marRight w:val="0"/>
      <w:marTop w:val="0"/>
      <w:marBottom w:val="0"/>
      <w:divBdr>
        <w:top w:val="none" w:sz="0" w:space="0" w:color="auto"/>
        <w:left w:val="none" w:sz="0" w:space="0" w:color="auto"/>
        <w:bottom w:val="none" w:sz="0" w:space="0" w:color="auto"/>
        <w:right w:val="none" w:sz="0" w:space="0" w:color="auto"/>
      </w:divBdr>
    </w:div>
    <w:div w:id="922762933">
      <w:bodyDiv w:val="1"/>
      <w:marLeft w:val="0"/>
      <w:marRight w:val="0"/>
      <w:marTop w:val="0"/>
      <w:marBottom w:val="0"/>
      <w:divBdr>
        <w:top w:val="none" w:sz="0" w:space="0" w:color="auto"/>
        <w:left w:val="none" w:sz="0" w:space="0" w:color="auto"/>
        <w:bottom w:val="none" w:sz="0" w:space="0" w:color="auto"/>
        <w:right w:val="none" w:sz="0" w:space="0" w:color="auto"/>
      </w:divBdr>
    </w:div>
    <w:div w:id="968825155">
      <w:bodyDiv w:val="1"/>
      <w:marLeft w:val="0"/>
      <w:marRight w:val="0"/>
      <w:marTop w:val="0"/>
      <w:marBottom w:val="0"/>
      <w:divBdr>
        <w:top w:val="none" w:sz="0" w:space="0" w:color="auto"/>
        <w:left w:val="none" w:sz="0" w:space="0" w:color="auto"/>
        <w:bottom w:val="none" w:sz="0" w:space="0" w:color="auto"/>
        <w:right w:val="none" w:sz="0" w:space="0" w:color="auto"/>
      </w:divBdr>
    </w:div>
    <w:div w:id="1083573631">
      <w:bodyDiv w:val="1"/>
      <w:marLeft w:val="0"/>
      <w:marRight w:val="0"/>
      <w:marTop w:val="0"/>
      <w:marBottom w:val="0"/>
      <w:divBdr>
        <w:top w:val="none" w:sz="0" w:space="0" w:color="auto"/>
        <w:left w:val="none" w:sz="0" w:space="0" w:color="auto"/>
        <w:bottom w:val="none" w:sz="0" w:space="0" w:color="auto"/>
        <w:right w:val="none" w:sz="0" w:space="0" w:color="auto"/>
      </w:divBdr>
    </w:div>
    <w:div w:id="1169100357">
      <w:bodyDiv w:val="1"/>
      <w:marLeft w:val="0"/>
      <w:marRight w:val="0"/>
      <w:marTop w:val="0"/>
      <w:marBottom w:val="0"/>
      <w:divBdr>
        <w:top w:val="none" w:sz="0" w:space="0" w:color="auto"/>
        <w:left w:val="none" w:sz="0" w:space="0" w:color="auto"/>
        <w:bottom w:val="none" w:sz="0" w:space="0" w:color="auto"/>
        <w:right w:val="none" w:sz="0" w:space="0" w:color="auto"/>
      </w:divBdr>
    </w:div>
    <w:div w:id="1305814445">
      <w:bodyDiv w:val="1"/>
      <w:marLeft w:val="0"/>
      <w:marRight w:val="0"/>
      <w:marTop w:val="0"/>
      <w:marBottom w:val="0"/>
      <w:divBdr>
        <w:top w:val="none" w:sz="0" w:space="0" w:color="auto"/>
        <w:left w:val="none" w:sz="0" w:space="0" w:color="auto"/>
        <w:bottom w:val="none" w:sz="0" w:space="0" w:color="auto"/>
        <w:right w:val="none" w:sz="0" w:space="0" w:color="auto"/>
      </w:divBdr>
    </w:div>
    <w:div w:id="1401365852">
      <w:bodyDiv w:val="1"/>
      <w:marLeft w:val="0"/>
      <w:marRight w:val="0"/>
      <w:marTop w:val="0"/>
      <w:marBottom w:val="0"/>
      <w:divBdr>
        <w:top w:val="none" w:sz="0" w:space="0" w:color="auto"/>
        <w:left w:val="none" w:sz="0" w:space="0" w:color="auto"/>
        <w:bottom w:val="none" w:sz="0" w:space="0" w:color="auto"/>
        <w:right w:val="none" w:sz="0" w:space="0" w:color="auto"/>
      </w:divBdr>
    </w:div>
    <w:div w:id="1404834002">
      <w:bodyDiv w:val="1"/>
      <w:marLeft w:val="0"/>
      <w:marRight w:val="0"/>
      <w:marTop w:val="0"/>
      <w:marBottom w:val="0"/>
      <w:divBdr>
        <w:top w:val="none" w:sz="0" w:space="0" w:color="auto"/>
        <w:left w:val="none" w:sz="0" w:space="0" w:color="auto"/>
        <w:bottom w:val="none" w:sz="0" w:space="0" w:color="auto"/>
        <w:right w:val="none" w:sz="0" w:space="0" w:color="auto"/>
      </w:divBdr>
    </w:div>
    <w:div w:id="1464151455">
      <w:bodyDiv w:val="1"/>
      <w:marLeft w:val="0"/>
      <w:marRight w:val="0"/>
      <w:marTop w:val="0"/>
      <w:marBottom w:val="0"/>
      <w:divBdr>
        <w:top w:val="none" w:sz="0" w:space="0" w:color="auto"/>
        <w:left w:val="none" w:sz="0" w:space="0" w:color="auto"/>
        <w:bottom w:val="none" w:sz="0" w:space="0" w:color="auto"/>
        <w:right w:val="none" w:sz="0" w:space="0" w:color="auto"/>
      </w:divBdr>
    </w:div>
    <w:div w:id="1755781382">
      <w:bodyDiv w:val="1"/>
      <w:marLeft w:val="0"/>
      <w:marRight w:val="0"/>
      <w:marTop w:val="0"/>
      <w:marBottom w:val="0"/>
      <w:divBdr>
        <w:top w:val="none" w:sz="0" w:space="0" w:color="auto"/>
        <w:left w:val="none" w:sz="0" w:space="0" w:color="auto"/>
        <w:bottom w:val="none" w:sz="0" w:space="0" w:color="auto"/>
        <w:right w:val="none" w:sz="0" w:space="0" w:color="auto"/>
      </w:divBdr>
    </w:div>
    <w:div w:id="1825703093">
      <w:bodyDiv w:val="1"/>
      <w:marLeft w:val="0"/>
      <w:marRight w:val="0"/>
      <w:marTop w:val="0"/>
      <w:marBottom w:val="0"/>
      <w:divBdr>
        <w:top w:val="none" w:sz="0" w:space="0" w:color="auto"/>
        <w:left w:val="none" w:sz="0" w:space="0" w:color="auto"/>
        <w:bottom w:val="none" w:sz="0" w:space="0" w:color="auto"/>
        <w:right w:val="none" w:sz="0" w:space="0" w:color="auto"/>
      </w:divBdr>
    </w:div>
    <w:div w:id="1830712170">
      <w:bodyDiv w:val="1"/>
      <w:marLeft w:val="0"/>
      <w:marRight w:val="0"/>
      <w:marTop w:val="0"/>
      <w:marBottom w:val="0"/>
      <w:divBdr>
        <w:top w:val="none" w:sz="0" w:space="0" w:color="auto"/>
        <w:left w:val="none" w:sz="0" w:space="0" w:color="auto"/>
        <w:bottom w:val="none" w:sz="0" w:space="0" w:color="auto"/>
        <w:right w:val="none" w:sz="0" w:space="0" w:color="auto"/>
      </w:divBdr>
      <w:divsChild>
        <w:div w:id="1766850713">
          <w:marLeft w:val="0"/>
          <w:marRight w:val="0"/>
          <w:marTop w:val="0"/>
          <w:marBottom w:val="0"/>
          <w:divBdr>
            <w:top w:val="none" w:sz="0" w:space="0" w:color="auto"/>
            <w:left w:val="none" w:sz="0" w:space="0" w:color="auto"/>
            <w:bottom w:val="none" w:sz="0" w:space="0" w:color="auto"/>
            <w:right w:val="none" w:sz="0" w:space="0" w:color="auto"/>
          </w:divBdr>
          <w:divsChild>
            <w:div w:id="2113627476">
              <w:marLeft w:val="0"/>
              <w:marRight w:val="0"/>
              <w:marTop w:val="0"/>
              <w:marBottom w:val="0"/>
              <w:divBdr>
                <w:top w:val="none" w:sz="0" w:space="0" w:color="auto"/>
                <w:left w:val="none" w:sz="0" w:space="0" w:color="auto"/>
                <w:bottom w:val="none" w:sz="0" w:space="0" w:color="auto"/>
                <w:right w:val="none" w:sz="0" w:space="0" w:color="auto"/>
              </w:divBdr>
              <w:divsChild>
                <w:div w:id="673461241">
                  <w:marLeft w:val="0"/>
                  <w:marRight w:val="0"/>
                  <w:marTop w:val="0"/>
                  <w:marBottom w:val="0"/>
                  <w:divBdr>
                    <w:top w:val="none" w:sz="0" w:space="0" w:color="auto"/>
                    <w:left w:val="none" w:sz="0" w:space="0" w:color="auto"/>
                    <w:bottom w:val="none" w:sz="0" w:space="0" w:color="auto"/>
                    <w:right w:val="none" w:sz="0" w:space="0" w:color="auto"/>
                  </w:divBdr>
                  <w:divsChild>
                    <w:div w:id="450053603">
                      <w:marLeft w:val="0"/>
                      <w:marRight w:val="0"/>
                      <w:marTop w:val="0"/>
                      <w:marBottom w:val="0"/>
                      <w:divBdr>
                        <w:top w:val="none" w:sz="0" w:space="0" w:color="auto"/>
                        <w:left w:val="none" w:sz="0" w:space="0" w:color="auto"/>
                        <w:bottom w:val="none" w:sz="0" w:space="0" w:color="auto"/>
                        <w:right w:val="none" w:sz="0" w:space="0" w:color="auto"/>
                      </w:divBdr>
                      <w:divsChild>
                        <w:div w:id="242229911">
                          <w:marLeft w:val="0"/>
                          <w:marRight w:val="0"/>
                          <w:marTop w:val="0"/>
                          <w:marBottom w:val="0"/>
                          <w:divBdr>
                            <w:top w:val="none" w:sz="0" w:space="0" w:color="auto"/>
                            <w:left w:val="none" w:sz="0" w:space="0" w:color="auto"/>
                            <w:bottom w:val="none" w:sz="0" w:space="0" w:color="auto"/>
                            <w:right w:val="none" w:sz="0" w:space="0" w:color="auto"/>
                          </w:divBdr>
                          <w:divsChild>
                            <w:div w:id="950819843">
                              <w:marLeft w:val="0"/>
                              <w:marRight w:val="0"/>
                              <w:marTop w:val="0"/>
                              <w:marBottom w:val="0"/>
                              <w:divBdr>
                                <w:top w:val="none" w:sz="0" w:space="0" w:color="auto"/>
                                <w:left w:val="none" w:sz="0" w:space="0" w:color="auto"/>
                                <w:bottom w:val="none" w:sz="0" w:space="0" w:color="auto"/>
                                <w:right w:val="none" w:sz="0" w:space="0" w:color="auto"/>
                              </w:divBdr>
                              <w:divsChild>
                                <w:div w:id="302734587">
                                  <w:marLeft w:val="0"/>
                                  <w:marRight w:val="0"/>
                                  <w:marTop w:val="0"/>
                                  <w:marBottom w:val="0"/>
                                  <w:divBdr>
                                    <w:top w:val="none" w:sz="0" w:space="0" w:color="auto"/>
                                    <w:left w:val="none" w:sz="0" w:space="0" w:color="auto"/>
                                    <w:bottom w:val="none" w:sz="0" w:space="0" w:color="auto"/>
                                    <w:right w:val="none" w:sz="0" w:space="0" w:color="auto"/>
                                  </w:divBdr>
                                  <w:divsChild>
                                    <w:div w:id="1505049715">
                                      <w:marLeft w:val="0"/>
                                      <w:marRight w:val="0"/>
                                      <w:marTop w:val="0"/>
                                      <w:marBottom w:val="0"/>
                                      <w:divBdr>
                                        <w:top w:val="none" w:sz="0" w:space="0" w:color="auto"/>
                                        <w:left w:val="none" w:sz="0" w:space="0" w:color="auto"/>
                                        <w:bottom w:val="none" w:sz="0" w:space="0" w:color="auto"/>
                                        <w:right w:val="none" w:sz="0" w:space="0" w:color="auto"/>
                                      </w:divBdr>
                                      <w:divsChild>
                                        <w:div w:id="201095672">
                                          <w:marLeft w:val="0"/>
                                          <w:marRight w:val="0"/>
                                          <w:marTop w:val="0"/>
                                          <w:marBottom w:val="0"/>
                                          <w:divBdr>
                                            <w:top w:val="none" w:sz="0" w:space="0" w:color="auto"/>
                                            <w:left w:val="none" w:sz="0" w:space="0" w:color="auto"/>
                                            <w:bottom w:val="none" w:sz="0" w:space="0" w:color="auto"/>
                                            <w:right w:val="none" w:sz="0" w:space="0" w:color="auto"/>
                                          </w:divBdr>
                                          <w:divsChild>
                                            <w:div w:id="2017414617">
                                              <w:marLeft w:val="0"/>
                                              <w:marRight w:val="0"/>
                                              <w:marTop w:val="0"/>
                                              <w:marBottom w:val="0"/>
                                              <w:divBdr>
                                                <w:top w:val="none" w:sz="0" w:space="0" w:color="auto"/>
                                                <w:left w:val="none" w:sz="0" w:space="0" w:color="auto"/>
                                                <w:bottom w:val="none" w:sz="0" w:space="0" w:color="auto"/>
                                                <w:right w:val="none" w:sz="0" w:space="0" w:color="auto"/>
                                              </w:divBdr>
                                              <w:divsChild>
                                                <w:div w:id="1668555408">
                                                  <w:marLeft w:val="0"/>
                                                  <w:marRight w:val="0"/>
                                                  <w:marTop w:val="0"/>
                                                  <w:marBottom w:val="0"/>
                                                  <w:divBdr>
                                                    <w:top w:val="none" w:sz="0" w:space="0" w:color="auto"/>
                                                    <w:left w:val="none" w:sz="0" w:space="0" w:color="auto"/>
                                                    <w:bottom w:val="none" w:sz="0" w:space="0" w:color="auto"/>
                                                    <w:right w:val="none" w:sz="0" w:space="0" w:color="auto"/>
                                                  </w:divBdr>
                                                  <w:divsChild>
                                                    <w:div w:id="1650087130">
                                                      <w:marLeft w:val="0"/>
                                                      <w:marRight w:val="0"/>
                                                      <w:marTop w:val="0"/>
                                                      <w:marBottom w:val="0"/>
                                                      <w:divBdr>
                                                        <w:top w:val="none" w:sz="0" w:space="0" w:color="auto"/>
                                                        <w:left w:val="none" w:sz="0" w:space="0" w:color="auto"/>
                                                        <w:bottom w:val="none" w:sz="0" w:space="0" w:color="auto"/>
                                                        <w:right w:val="none" w:sz="0" w:space="0" w:color="auto"/>
                                                      </w:divBdr>
                                                      <w:divsChild>
                                                        <w:div w:id="1042173950">
                                                          <w:marLeft w:val="0"/>
                                                          <w:marRight w:val="0"/>
                                                          <w:marTop w:val="0"/>
                                                          <w:marBottom w:val="0"/>
                                                          <w:divBdr>
                                                            <w:top w:val="none" w:sz="0" w:space="0" w:color="auto"/>
                                                            <w:left w:val="none" w:sz="0" w:space="0" w:color="auto"/>
                                                            <w:bottom w:val="none" w:sz="0" w:space="0" w:color="auto"/>
                                                            <w:right w:val="none" w:sz="0" w:space="0" w:color="auto"/>
                                                          </w:divBdr>
                                                          <w:divsChild>
                                                            <w:div w:id="46607868">
                                                              <w:marLeft w:val="0"/>
                                                              <w:marRight w:val="0"/>
                                                              <w:marTop w:val="0"/>
                                                              <w:marBottom w:val="0"/>
                                                              <w:divBdr>
                                                                <w:top w:val="none" w:sz="0" w:space="0" w:color="auto"/>
                                                                <w:left w:val="none" w:sz="0" w:space="0" w:color="auto"/>
                                                                <w:bottom w:val="none" w:sz="0" w:space="0" w:color="auto"/>
                                                                <w:right w:val="none" w:sz="0" w:space="0" w:color="auto"/>
                                                              </w:divBdr>
                                                              <w:divsChild>
                                                                <w:div w:id="593055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93825605">
      <w:bodyDiv w:val="1"/>
      <w:marLeft w:val="0"/>
      <w:marRight w:val="0"/>
      <w:marTop w:val="0"/>
      <w:marBottom w:val="0"/>
      <w:divBdr>
        <w:top w:val="none" w:sz="0" w:space="0" w:color="auto"/>
        <w:left w:val="none" w:sz="0" w:space="0" w:color="auto"/>
        <w:bottom w:val="none" w:sz="0" w:space="0" w:color="auto"/>
        <w:right w:val="none" w:sz="0" w:space="0" w:color="auto"/>
      </w:divBdr>
    </w:div>
    <w:div w:id="2095710872">
      <w:bodyDiv w:val="1"/>
      <w:marLeft w:val="0"/>
      <w:marRight w:val="0"/>
      <w:marTop w:val="0"/>
      <w:marBottom w:val="0"/>
      <w:divBdr>
        <w:top w:val="none" w:sz="0" w:space="0" w:color="auto"/>
        <w:left w:val="none" w:sz="0" w:space="0" w:color="auto"/>
        <w:bottom w:val="none" w:sz="0" w:space="0" w:color="auto"/>
        <w:right w:val="none" w:sz="0" w:space="0" w:color="auto"/>
      </w:divBdr>
    </w:div>
    <w:div w:id="2101296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DynaReport/23700-07.ht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6718C-BA27-4B14-B822-566BB92EE9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493B3BA-0B00-4037-AC12-383573755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4</Pages>
  <Words>1709</Words>
  <Characters>8252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9942</CharactersWithSpaces>
  <SharedDoc>false</SharedDoc>
  <HLinks>
    <vt:vector size="30" baseType="variant">
      <vt:variant>
        <vt:i4>1179697</vt:i4>
      </vt:variant>
      <vt:variant>
        <vt:i4>17</vt:i4>
      </vt:variant>
      <vt:variant>
        <vt:i4>0</vt:i4>
      </vt:variant>
      <vt:variant>
        <vt:i4>5</vt:i4>
      </vt:variant>
      <vt:variant>
        <vt:lpwstr/>
      </vt:variant>
      <vt:variant>
        <vt:lpwstr>_Toc47633809</vt:lpwstr>
      </vt:variant>
      <vt:variant>
        <vt:i4>1245233</vt:i4>
      </vt:variant>
      <vt:variant>
        <vt:i4>11</vt:i4>
      </vt:variant>
      <vt:variant>
        <vt:i4>0</vt:i4>
      </vt:variant>
      <vt:variant>
        <vt:i4>5</vt:i4>
      </vt:variant>
      <vt:variant>
        <vt:lpwstr/>
      </vt:variant>
      <vt:variant>
        <vt:lpwstr>_Toc47633808</vt:lpwstr>
      </vt:variant>
      <vt:variant>
        <vt:i4>1835057</vt:i4>
      </vt:variant>
      <vt:variant>
        <vt:i4>8</vt:i4>
      </vt:variant>
      <vt:variant>
        <vt:i4>0</vt:i4>
      </vt:variant>
      <vt:variant>
        <vt:i4>5</vt:i4>
      </vt:variant>
      <vt:variant>
        <vt:lpwstr/>
      </vt:variant>
      <vt:variant>
        <vt:lpwstr>_Toc47633807</vt:lpwstr>
      </vt:variant>
      <vt:variant>
        <vt:i4>1900593</vt:i4>
      </vt:variant>
      <vt:variant>
        <vt:i4>5</vt:i4>
      </vt:variant>
      <vt:variant>
        <vt:i4>0</vt:i4>
      </vt:variant>
      <vt:variant>
        <vt:i4>5</vt:i4>
      </vt:variant>
      <vt:variant>
        <vt:lpwstr/>
      </vt:variant>
      <vt:variant>
        <vt:lpwstr>_Toc47633806</vt:lpwstr>
      </vt:variant>
      <vt:variant>
        <vt:i4>1966153</vt:i4>
      </vt:variant>
      <vt:variant>
        <vt:i4>0</vt:i4>
      </vt:variant>
      <vt:variant>
        <vt:i4>0</vt:i4>
      </vt:variant>
      <vt:variant>
        <vt:i4>5</vt:i4>
      </vt:variant>
      <vt:variant>
        <vt:lpwstr>https://www.3gpp.org/DynaReport/23700-07.htm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332</cp:revision>
  <cp:lastPrinted>2008-01-31T07:09:00Z</cp:lastPrinted>
  <dcterms:created xsi:type="dcterms:W3CDTF">2020-08-05T22:59:00Z</dcterms:created>
  <dcterms:modified xsi:type="dcterms:W3CDTF">2020-08-06T18:00:00Z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